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w:hAnsi="Aptos"/>
          <w:b/>
          <w:color w:val="17365D"/>
          <w:sz w:val="26"/>
        </w:rPr>
        <w:t>CASE STUDY</w:t>
      </w:r>
    </w:p>
    <w:p>
      <w:pPr>
        <w:pStyle w:val="Title"/>
        <w:spacing w:before="200" w:after="200"/>
        <w:jc w:val="center"/>
      </w:pPr>
      <w:r>
        <w:t>Process Planning for a</w:t>
        <w:br/>
        <w:t>Manufactured Component</w:t>
      </w:r>
    </w:p>
    <w:p>
      <w:pPr>
        <w:spacing w:after="640"/>
        <w:jc w:val="center"/>
      </w:pPr>
      <w:r>
        <w:rPr>
          <w:i/>
          <w:sz w:val="26"/>
        </w:rPr>
        <w:t>A manufacturing process plan for a machined flanged hub</w:t>
      </w:r>
    </w:p>
    <w:p>
      <w:pPr>
        <w:spacing w:after="100"/>
        <w:jc w:val="center"/>
      </w:pPr>
      <w:r>
        <w:rPr>
          <w:rFonts w:ascii="Aptos" w:hAnsi="Aptos"/>
          <w:b/>
          <w:sz w:val="22"/>
        </w:rPr>
        <w:t xml:space="preserve">Component selected: </w:t>
      </w:r>
      <w:r>
        <w:rPr>
          <w:rFonts w:ascii="Aptos" w:hAnsi="Aptos"/>
          <w:sz w:val="22"/>
        </w:rPr>
        <w:t>Machined flanged hub</w:t>
      </w:r>
    </w:p>
    <w:p>
      <w:pPr>
        <w:spacing w:after="100"/>
        <w:jc w:val="center"/>
      </w:pPr>
      <w:r>
        <w:rPr>
          <w:rFonts w:ascii="Aptos" w:hAnsi="Aptos"/>
          <w:b/>
          <w:sz w:val="22"/>
        </w:rPr>
        <w:t xml:space="preserve">Manufacturing route: </w:t>
      </w:r>
      <w:r>
        <w:rPr>
          <w:rFonts w:ascii="Aptos" w:hAnsi="Aptos"/>
          <w:sz w:val="22"/>
        </w:rPr>
        <w:t>Cutting, turning, drilling, milling, inspection and packing</w:t>
      </w:r>
    </w:p>
    <w:p>
      <w:pPr>
        <w:spacing w:after="100"/>
        <w:jc w:val="center"/>
      </w:pPr>
      <w:r>
        <w:rPr>
          <w:rFonts w:ascii="Aptos" w:hAnsi="Aptos"/>
          <w:b/>
          <w:sz w:val="22"/>
        </w:rPr>
        <w:t xml:space="preserve">Report type: </w:t>
      </w:r>
      <w:r>
        <w:rPr>
          <w:rFonts w:ascii="Aptos" w:hAnsi="Aptos"/>
          <w:sz w:val="22"/>
        </w:rPr>
        <w:t>Manufacturing engineering case study</w:t>
      </w:r>
    </w:p>
    <w:p>
      <w:pPr>
        <w:spacing w:before="960"/>
        <w:jc w:val="center"/>
      </w:pPr>
      <w:r>
        <w:rPr>
          <w:i/>
          <w:sz w:val="20"/>
        </w:rPr>
        <w:t>Prepared as an academic case report</w:t>
      </w:r>
    </w:p>
    <w:p>
      <w:r>
        <w:br w:type="page"/>
      </w:r>
    </w:p>
    <w:p>
      <w:pPr>
        <w:pStyle w:val="Heading1"/>
        <w:spacing w:before="260" w:after="120"/>
      </w:pPr>
      <w:r>
        <w:rPr>
          <w:rFonts w:ascii="Aptos Display" w:hAnsi="Aptos Display"/>
          <w:color w:val="000000"/>
        </w:rPr>
        <w:t>Contents</w:t>
      </w:r>
    </w:p>
    <w:p>
      <w:pPr>
        <w:spacing w:after="100"/>
      </w:pPr>
      <w:r>
        <w:rPr>
          <w:rFonts w:ascii="Aptos" w:hAnsi="Aptos"/>
          <w:sz w:val="22"/>
        </w:rPr>
        <w:t>1.  Introduction</w:t>
      </w:r>
    </w:p>
    <w:p>
      <w:pPr>
        <w:spacing w:after="100"/>
      </w:pPr>
      <w:r>
        <w:rPr>
          <w:rFonts w:ascii="Aptos" w:hAnsi="Aptos"/>
          <w:sz w:val="22"/>
        </w:rPr>
        <w:t>2.  Background and Problem Statement</w:t>
      </w:r>
    </w:p>
    <w:p>
      <w:pPr>
        <w:spacing w:after="100"/>
      </w:pPr>
      <w:r>
        <w:rPr>
          <w:rFonts w:ascii="Aptos" w:hAnsi="Aptos"/>
          <w:sz w:val="22"/>
        </w:rPr>
        <w:t>3.  Objectives and Success Criteria</w:t>
      </w:r>
    </w:p>
    <w:p>
      <w:pPr>
        <w:spacing w:after="100"/>
      </w:pPr>
      <w:r>
        <w:rPr>
          <w:rFonts w:ascii="Aptos" w:hAnsi="Aptos"/>
          <w:sz w:val="22"/>
        </w:rPr>
        <w:t>4.  Component Description and Production Assumptions</w:t>
      </w:r>
    </w:p>
    <w:p>
      <w:pPr>
        <w:spacing w:after="100"/>
      </w:pPr>
      <w:r>
        <w:rPr>
          <w:rFonts w:ascii="Aptos" w:hAnsi="Aptos"/>
          <w:sz w:val="22"/>
        </w:rPr>
        <w:t>5.  Process Planning Methodology</w:t>
      </w:r>
    </w:p>
    <w:p>
      <w:pPr>
        <w:spacing w:after="100"/>
      </w:pPr>
      <w:r>
        <w:rPr>
          <w:rFonts w:ascii="Aptos" w:hAnsi="Aptos"/>
          <w:sz w:val="22"/>
        </w:rPr>
        <w:t>6.  Detailed Process Plan</w:t>
      </w:r>
    </w:p>
    <w:p>
      <w:pPr>
        <w:spacing w:after="100"/>
      </w:pPr>
      <w:r>
        <w:rPr>
          <w:rFonts w:ascii="Aptos" w:hAnsi="Aptos"/>
          <w:sz w:val="22"/>
        </w:rPr>
        <w:t>7.  Quality Control and Risk Management</w:t>
      </w:r>
    </w:p>
    <w:p>
      <w:pPr>
        <w:spacing w:after="100"/>
      </w:pPr>
      <w:r>
        <w:rPr>
          <w:rFonts w:ascii="Aptos" w:hAnsi="Aptos"/>
          <w:sz w:val="22"/>
        </w:rPr>
        <w:t>8.  Conclusion and Future Scope</w:t>
      </w:r>
    </w:p>
    <w:p>
      <w:r>
        <w:br w:type="page"/>
      </w:r>
    </w:p>
    <w:p>
      <w:pPr>
        <w:pStyle w:val="Heading1"/>
        <w:spacing w:before="260" w:after="120"/>
      </w:pPr>
      <w:r>
        <w:rPr>
          <w:rFonts w:ascii="Aptos Display" w:hAnsi="Aptos Display"/>
          <w:color w:val="000000"/>
        </w:rPr>
        <w:t>1 Introduction</w:t>
      </w:r>
    </w:p>
    <w:p>
      <w:pPr>
        <w:spacing w:after="140" w:line="276" w:lineRule="auto"/>
      </w:pPr>
      <w:r>
        <w:rPr>
          <w:rFonts w:ascii="Aptos" w:hAnsi="Aptos"/>
          <w:sz w:val="21"/>
        </w:rPr>
        <w:t>Process planning converts a component drawing into a repeatable sequence of manufacturing operations. The planner decides the starting stock, machines, tools, fixtures, inspection points and operating conditions that will produce the required geometry at an acceptable cost. This case study develops a practical route for a machined flanged hub used to transmit torque between a shaft and a bolted coupling.</w:t>
      </w:r>
    </w:p>
    <w:p>
      <w:pPr>
        <w:spacing w:after="140" w:line="276" w:lineRule="auto"/>
      </w:pPr>
      <w:r>
        <w:rPr>
          <w:rFonts w:ascii="Aptos" w:hAnsi="Aptos"/>
          <w:sz w:val="21"/>
        </w:rPr>
        <w:t>The selected component combines rotational features, a precision bore, a keyway and a bolt circle. It is therefore suitable for showing how turning, drilling and milling operations are coordinated. The resulting plan is intended for a small to medium batch-production workshop equipped with conventional CNC turning and vertical machining capability.</w:t>
      </w:r>
    </w:p>
    <w:p>
      <w:pPr>
        <w:pStyle w:val="Heading1"/>
        <w:spacing w:before="260" w:after="120"/>
      </w:pPr>
      <w:r>
        <w:rPr>
          <w:rFonts w:ascii="Aptos Display" w:hAnsi="Aptos Display"/>
          <w:color w:val="000000"/>
        </w:rPr>
        <w:t>2 Background and Problem Statement</w:t>
      </w:r>
    </w:p>
    <w:p>
      <w:pPr>
        <w:spacing w:after="140" w:line="276" w:lineRule="auto"/>
      </w:pPr>
      <w:r>
        <w:rPr>
          <w:rFonts w:ascii="Aptos" w:hAnsi="Aptos"/>
          <w:sz w:val="21"/>
        </w:rPr>
        <w:t>A flanged hub must fit a mating shaft without excessive clearance, locate concentrically with a coupling flange and transfer torque through a parallel key. Poor process planning can cause runout between the bore and outer diameter, burrs in the keyway, inconsistent bolt-circle location or unnecessary handling time. These faults increase rework and can lead to vibration, assembly difficulty and early service failure.</w:t>
      </w:r>
    </w:p>
    <w:p>
      <w:pPr>
        <w:spacing w:after="140" w:line="276" w:lineRule="auto"/>
      </w:pPr>
      <w:r>
        <w:rPr>
          <w:rFonts w:ascii="Aptos" w:hAnsi="Aptos"/>
          <w:sz w:val="21"/>
        </w:rPr>
        <w:t>The problem is to prepare a manufacturing process plan that meets the drawing requirements while reducing set-ups, maintaining a clear datum scheme and building inspection into the route. The plan must be understandable to production operators and sufficiently robust for a batch size of 250 parts.</w:t>
      </w:r>
    </w:p>
    <w:p>
      <w:pPr>
        <w:pStyle w:val="Heading1"/>
        <w:spacing w:before="260" w:after="120"/>
      </w:pPr>
      <w:r>
        <w:rPr>
          <w:rFonts w:ascii="Aptos Display" w:hAnsi="Aptos Display"/>
          <w:color w:val="000000"/>
        </w:rPr>
        <w:t>3 Objectives and Success Criteria</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Objective</w:t>
            </w:r>
          </w:p>
        </w:tc>
        <w:tc>
          <w:tcPr>
            <w:tcW w:type="dxa" w:w="56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Success criterion</w:t>
            </w:r>
          </w:p>
        </w:tc>
      </w:tr>
      <w:t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Establish an economical route</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No more than three major machine set-ups after cutting.</w:t>
            </w:r>
          </w:p>
        </w:tc>
      </w:tr>
      <w:t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Control critical geometry</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Bore 30 H7 and bore-to-OD runout not greater than 0.03 mm.</w:t>
            </w:r>
          </w:p>
        </w:tc>
      </w:tr>
      <w:t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Protect functional surfaces</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No visible burrs at the bore, keyway or threaded holes.</w:t>
            </w:r>
          </w:p>
        </w:tc>
      </w:tr>
      <w:t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Support batch production</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Documented tools, datums and in-process inspection for every batch.</w:t>
            </w:r>
          </w:p>
        </w:tc>
      </w:tr>
      <w:t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Improve traceability</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First-off and final inspection records linked to the batch number.</w:t>
            </w:r>
          </w:p>
        </w:tc>
      </w:tr>
    </w:tbl>
    <w:p>
      <w:pPr>
        <w:spacing w:after="20"/>
      </w:pPr>
    </w:p>
    <w:p>
      <w:pPr>
        <w:pStyle w:val="Heading1"/>
        <w:spacing w:before="260" w:after="120"/>
      </w:pPr>
      <w:r>
        <w:rPr>
          <w:rFonts w:ascii="Aptos Display" w:hAnsi="Aptos Display"/>
          <w:color w:val="000000"/>
        </w:rPr>
        <w:t>4 Component Description and Production Assumptions</w:t>
      </w:r>
    </w:p>
    <w:p>
      <w:pPr>
        <w:spacing w:after="140" w:line="276" w:lineRule="auto"/>
      </w:pPr>
      <w:r>
        <w:rPr>
          <w:rFonts w:ascii="Aptos" w:hAnsi="Aptos"/>
          <w:sz w:val="21"/>
        </w:rPr>
        <w:t>The component is a flanged hub made from normalized EN8/C45 medium-carbon steel. The hub has a stepped outside diameter, a precision through bore and a radial flange with six mounting holes. Dimensions below are representative process-planning inputs; the engineering drawing remains the final authority for manufacture.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Feature</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Nominal requirement</w:t>
            </w:r>
          </w:p>
        </w:tc>
        <w:tc>
          <w:tcPr>
            <w:tcW w:type="dxa" w:w="403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Process significance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Starting stock</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90 mm diameter bar x 95 mm long</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Allows facing and turning allowance.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Flange OD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84.00 mm</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Concentric with precision bore.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Hub OD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56.00 mm</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Turned in same chucking as bore.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Overall length</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78.00 mm</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Controlled by faced datum surface.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Bore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30 H7 through</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Critical shaft fit; finish boring/reaming.</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Keyway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8 mm wide x 3.3 mm deep</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Milled after bore is established.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Bolt circle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6 x M8 on 68 mm PCD</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Requires indexed drilling/tapping fixture.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Surface finish</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Ra 1.6 micrometre on bore and bearing faces</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Requires finishing operation and protected handling.</w:t>
            </w:r>
          </w:p>
        </w:tc>
      </w:tr>
    </w:tbl>
    <w:p>
      <w:pPr>
        <w:spacing w:after="20"/>
      </w:pPr>
    </w:p>
    <w:p>
      <w:pPr>
        <w:spacing w:after="140" w:line="276" w:lineRule="auto"/>
      </w:pPr>
      <w:r>
        <w:rPr>
          <w:rFonts w:ascii="Aptos" w:hAnsi="Aptos"/>
          <w:sz w:val="21"/>
        </w:rPr>
        <w:t>Production assumption: annual demand is 12,000 pieces, produced in 48 batches of 250. The plan uses a CNC lathe with soft jaws for the rotational features and a vertical machining centre with a locating mandrel for the secondary operations.</w:t>
      </w:r>
    </w:p>
    <w:p>
      <w:pPr>
        <w:pStyle w:val="Heading1"/>
        <w:spacing w:before="260" w:after="120"/>
      </w:pPr>
      <w:r>
        <w:rPr>
          <w:rFonts w:ascii="Aptos Display" w:hAnsi="Aptos Display"/>
          <w:color w:val="000000"/>
        </w:rPr>
        <w:t>5 Process Planning Methodology</w:t>
      </w:r>
    </w:p>
    <w:p>
      <w:pPr>
        <w:pStyle w:val="Heading2"/>
        <w:spacing w:before="160" w:after="120"/>
      </w:pPr>
      <w:r>
        <w:rPr>
          <w:rFonts w:ascii="Aptos Display" w:hAnsi="Aptos Display"/>
          <w:color w:val="000000"/>
        </w:rPr>
        <w:t>5.1 Datum strategy</w:t>
      </w:r>
    </w:p>
    <w:p>
      <w:pPr>
        <w:spacing w:after="140" w:line="276" w:lineRule="auto"/>
      </w:pPr>
      <w:r>
        <w:rPr>
          <w:rFonts w:ascii="Aptos" w:hAnsi="Aptos"/>
          <w:sz w:val="21"/>
        </w:rPr>
        <w:t>Datum A is the finished flange face. Datum B is the finished bore axis. These datums are created early because they control functional assembly. Turning the flange face, hub diameters and bore in one CNC-lathe set-up minimises concentricity error. The finished bore is then used on an expanding mandrel for keyway and bolt-circle machining.</w:t>
      </w:r>
    </w:p>
    <w:p>
      <w:pPr>
        <w:pStyle w:val="Heading2"/>
        <w:spacing w:before="160" w:after="120"/>
      </w:pPr>
      <w:r>
        <w:rPr>
          <w:rFonts w:ascii="Aptos Display" w:hAnsi="Aptos Display"/>
          <w:color w:val="000000"/>
        </w:rPr>
        <w:t>5.2 Route selection</w:t>
      </w:r>
    </w:p>
    <w:p>
      <w:pPr>
        <w:spacing w:after="140" w:line="276" w:lineRule="auto"/>
      </w:pPr>
      <w:r>
        <w:rPr>
          <w:rFonts w:ascii="Aptos" w:hAnsi="Aptos"/>
          <w:sz w:val="21"/>
        </w:rPr>
        <w:t>The route follows the principle of producing general geometry before precision geometry, and completing heavy metal-removal operations before finishing and inspection. Cutting is separated from precision machining so saw distortion and rough end condition do not influence the lathe datum. Secondary milling occurs only after the bore can locate the part accurately.</w:t>
      </w:r>
    </w:p>
    <w:p>
      <w:pPr>
        <w:pStyle w:val="Heading2"/>
        <w:spacing w:before="160" w:after="120"/>
      </w:pPr>
      <w:r>
        <w:rPr>
          <w:rFonts w:ascii="Aptos Display" w:hAnsi="Aptos Display"/>
          <w:color w:val="000000"/>
        </w:rPr>
        <w:t>5.3 Process flow</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036"/>
            <w:tcBorders>
              <w:top w:val="single" w:sz="6" w:color="D9D9D9"/>
              <w:left w:val="single" w:sz="6" w:color="D9D9D9"/>
              <w:bottom w:val="single" w:sz="6" w:color="D9D9D9"/>
              <w:right w:val="single" w:sz="6" w:color="D9D9D9"/>
              <w:insideH w:val="single" w:sz="6" w:color="D9D9D9"/>
              <w:insideV w:val="single" w:sz="6" w:color="D9D9D9"/>
            </w:tcBorders>
            <w:shd w:fill="DCE6F1"/>
            <w:tcMar>
              <w:top w:w="90" w:type="dxa"/>
              <w:start w:w="55" w:type="dxa"/>
              <w:bottom w:w="90" w:type="dxa"/>
              <w:end w:w="55" w:type="dxa"/>
            </w:tcMar>
            <w:vAlign w:val="center"/>
          </w:tcPr>
          <w:p>
            <w:pPr>
              <w:jc w:val="center"/>
            </w:pPr>
            <w:r>
              <w:rPr>
                <w:rFonts w:ascii="Aptos" w:hAnsi="Aptos"/>
                <w:b/>
                <w:color w:val="000000"/>
                <w:sz w:val="15"/>
              </w:rPr>
              <w:t>Incoming</w:t>
              <w:br/>
              <w:t>inspection</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shd w:fill="F4F7FA"/>
            <w:tcMar>
              <w:top w:w="90" w:type="dxa"/>
              <w:start w:w="55" w:type="dxa"/>
              <w:bottom w:w="90" w:type="dxa"/>
              <w:end w:w="55" w:type="dxa"/>
            </w:tcMar>
            <w:vAlign w:val="center"/>
          </w:tcPr>
          <w:p>
            <w:pPr>
              <w:jc w:val="center"/>
            </w:pPr>
            <w:r>
              <w:rPr>
                <w:rFonts w:ascii="Aptos" w:hAnsi="Aptos"/>
                <w:b/>
                <w:color w:val="000000"/>
                <w:sz w:val="15"/>
              </w:rPr>
              <w:t>Band-saw</w:t>
              <w:br/>
              <w:t>cutting</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shd w:fill="DCE6F1"/>
            <w:tcMar>
              <w:top w:w="90" w:type="dxa"/>
              <w:start w:w="55" w:type="dxa"/>
              <w:bottom w:w="90" w:type="dxa"/>
              <w:end w:w="55" w:type="dxa"/>
            </w:tcMar>
            <w:vAlign w:val="center"/>
          </w:tcPr>
          <w:p>
            <w:pPr>
              <w:jc w:val="center"/>
            </w:pPr>
            <w:r>
              <w:rPr>
                <w:rFonts w:ascii="Aptos" w:hAnsi="Aptos"/>
                <w:b/>
                <w:color w:val="000000"/>
                <w:sz w:val="15"/>
              </w:rPr>
              <w:t>CNC turning</w:t>
              <w:br/>
              <w:t>and boring</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shd w:fill="F4F7FA"/>
            <w:tcMar>
              <w:top w:w="90" w:type="dxa"/>
              <w:start w:w="55" w:type="dxa"/>
              <w:bottom w:w="90" w:type="dxa"/>
              <w:end w:w="55" w:type="dxa"/>
            </w:tcMar>
            <w:vAlign w:val="center"/>
          </w:tcPr>
          <w:p>
            <w:pPr>
              <w:jc w:val="center"/>
            </w:pPr>
            <w:r>
              <w:rPr>
                <w:rFonts w:ascii="Aptos" w:hAnsi="Aptos"/>
                <w:b/>
                <w:color w:val="000000"/>
                <w:sz w:val="15"/>
              </w:rPr>
              <w:t>Mandrel</w:t>
              <w:br/>
              <w:t>locating</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shd w:fill="DCE6F1"/>
            <w:tcMar>
              <w:top w:w="90" w:type="dxa"/>
              <w:start w:w="55" w:type="dxa"/>
              <w:bottom w:w="90" w:type="dxa"/>
              <w:end w:w="55" w:type="dxa"/>
            </w:tcMar>
            <w:vAlign w:val="center"/>
          </w:tcPr>
          <w:p>
            <w:pPr>
              <w:jc w:val="center"/>
            </w:pPr>
            <w:r>
              <w:rPr>
                <w:rFonts w:ascii="Aptos" w:hAnsi="Aptos"/>
                <w:b/>
                <w:color w:val="000000"/>
                <w:sz w:val="15"/>
              </w:rPr>
              <w:t>Keyway</w:t>
              <w:br/>
              <w:t>milling</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shd w:fill="F4F7FA"/>
            <w:tcMar>
              <w:top w:w="90" w:type="dxa"/>
              <w:start w:w="55" w:type="dxa"/>
              <w:bottom w:w="90" w:type="dxa"/>
              <w:end w:w="55" w:type="dxa"/>
            </w:tcMar>
            <w:vAlign w:val="center"/>
          </w:tcPr>
          <w:p>
            <w:pPr>
              <w:jc w:val="center"/>
            </w:pPr>
            <w:r>
              <w:rPr>
                <w:rFonts w:ascii="Aptos" w:hAnsi="Aptos"/>
                <w:b/>
                <w:color w:val="000000"/>
                <w:sz w:val="15"/>
              </w:rPr>
              <w:t>PCD drilling</w:t>
              <w:br/>
              <w:t>and tapping</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shd w:fill="DCE6F1"/>
            <w:tcMar>
              <w:top w:w="90" w:type="dxa"/>
              <w:start w:w="55" w:type="dxa"/>
              <w:bottom w:w="90" w:type="dxa"/>
              <w:end w:w="55" w:type="dxa"/>
            </w:tcMar>
            <w:vAlign w:val="center"/>
          </w:tcPr>
          <w:p>
            <w:pPr>
              <w:jc w:val="center"/>
            </w:pPr>
            <w:r>
              <w:rPr>
                <w:rFonts w:ascii="Aptos" w:hAnsi="Aptos"/>
                <w:b/>
                <w:color w:val="000000"/>
                <w:sz w:val="15"/>
              </w:rPr>
              <w:t>Deburr and</w:t>
              <w:br/>
              <w:t>wash</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shd w:fill="F4F7FA"/>
            <w:tcMar>
              <w:top w:w="90" w:type="dxa"/>
              <w:start w:w="55" w:type="dxa"/>
              <w:bottom w:w="90" w:type="dxa"/>
              <w:end w:w="55" w:type="dxa"/>
            </w:tcMar>
            <w:vAlign w:val="center"/>
          </w:tcPr>
          <w:p>
            <w:pPr>
              <w:jc w:val="center"/>
            </w:pPr>
            <w:r>
              <w:rPr>
                <w:rFonts w:ascii="Aptos" w:hAnsi="Aptos"/>
                <w:b/>
                <w:color w:val="000000"/>
                <w:sz w:val="15"/>
              </w:rPr>
              <w:t>Final</w:t>
              <w:br/>
              <w:t>inspection</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shd w:fill="DCE6F1"/>
            <w:tcMar>
              <w:top w:w="90" w:type="dxa"/>
              <w:start w:w="55" w:type="dxa"/>
              <w:bottom w:w="90" w:type="dxa"/>
              <w:end w:w="55" w:type="dxa"/>
            </w:tcMar>
            <w:vAlign w:val="center"/>
          </w:tcPr>
          <w:p>
            <w:pPr>
              <w:jc w:val="center"/>
            </w:pPr>
            <w:r>
              <w:rPr>
                <w:rFonts w:ascii="Aptos" w:hAnsi="Aptos"/>
                <w:b/>
                <w:color w:val="000000"/>
                <w:sz w:val="15"/>
              </w:rPr>
              <w:t>Oil and</w:t>
              <w:br/>
              <w:t>pack</w:t>
            </w:r>
          </w:p>
        </w:tc>
      </w:tr>
    </w:tbl>
    <w:p/>
    <w:p>
      <w:pPr>
        <w:pStyle w:val="Heading1"/>
        <w:spacing w:before="260" w:after="120"/>
      </w:pPr>
      <w:r>
        <w:rPr>
          <w:rFonts w:ascii="Aptos Display" w:hAnsi="Aptos Display"/>
          <w:color w:val="000000"/>
        </w:rPr>
        <w:t>6 Detailed Process Plan</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Op.</w:t>
            </w:r>
          </w:p>
        </w:tc>
        <w:tc>
          <w:tcPr>
            <w:tcW w:type="dxa" w:w="201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Operation</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Machine and tooling</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Key instruction</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10</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Receive and inspect bar stock</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Material certificate; 90 mm bar; visual check</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Verify grade, diameter and straightness before issue.</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20</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Saw cut blanks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Automatic band saw; length stop</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Cut to 95 mm plus 2 mm allowance; identify batch.</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30</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Rough turning</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CNC lathe; three-jaw chuck; CNMG insert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Face first end, rough turn ODs and pilot drill bore.</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40</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Finish turning and boring</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Same CNC set-up; boring bar; reamer</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Finish Datum A, flange/hub ODs, length and 30 H7 bore.</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50</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Chamfer and part handling check</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CNC lathe; 45 degree tool</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Break sharp edges; protect finished bore during transfer.</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60</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Set on expanding mandrel</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VMC; expanding mandrel locating on bore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Locate on Datum B and support against Datum A.</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70</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Mill keyway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VMC; 8 mm end mill; gauge pin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Mill 8 mm keyway to depth; inspect width and depth.</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80</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Drill and tap bolt circle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VMC; probe; 6-position program</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Spot drill, drill 6.8 mm, tap M8 on 68 mm PCD.</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90</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Deburr and wash</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Deburring station; aqueous washer</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Remove burrs; ensure threads, bore and keyway are clean.</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100</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Final inspection and pack</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CMM or gauges; VCI paper</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Record critical dimensions; apply rust preventive and pack.</w:t>
            </w:r>
          </w:p>
        </w:tc>
      </w:tr>
    </w:tbl>
    <w:p>
      <w:pPr>
        <w:spacing w:after="20"/>
      </w:pPr>
    </w:p>
    <w:p>
      <w:pPr>
        <w:pStyle w:val="Heading2"/>
        <w:spacing w:before="160" w:after="120"/>
      </w:pPr>
      <w:r>
        <w:rPr>
          <w:rFonts w:ascii="Aptos Display" w:hAnsi="Aptos Display"/>
          <w:color w:val="000000"/>
        </w:rPr>
        <w:t>6.1 Estimated cycle time and capacity</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Activity</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Estimated time per part</w:t>
            </w:r>
          </w:p>
        </w:tc>
        <w:tc>
          <w:tcPr>
            <w:tcW w:type="dxa" w:w="331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Planning note</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Saw cutting</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1.2 min</w:t>
            </w:r>
          </w:p>
        </w:tc>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Batch cutting with automatic length stop.</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Turning and boring</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6.5 min</w:t>
            </w:r>
          </w:p>
        </w:tc>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Includes loading, roughing, finishing and bore gauging.</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Milling, drilling and tapping</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5.8 min</w:t>
            </w:r>
          </w:p>
        </w:tc>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CNC program combines keyway and bolt-circle operations.</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Deburring, wash and inspection</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2.0 min</w:t>
            </w:r>
          </w:p>
        </w:tc>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Includes sampling and final clean.</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Total planned direct time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15.5 min</w:t>
            </w:r>
          </w:p>
        </w:tc>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Set-up time is planned separately per batch.</w:t>
            </w:r>
          </w:p>
        </w:tc>
      </w:tr>
    </w:tbl>
    <w:p>
      <w:pPr>
        <w:spacing w:after="20"/>
      </w:pPr>
    </w:p>
    <w:p>
      <w:pPr>
        <w:spacing w:after="140" w:line="276" w:lineRule="auto"/>
      </w:pPr>
      <w:r>
        <w:rPr>
          <w:rFonts w:ascii="Aptos" w:hAnsi="Aptos"/>
          <w:sz w:val="21"/>
        </w:rPr>
        <w:t>At 15.5 minutes direct time, one 250-piece batch requires approximately 64.6 direct machine-hours before allowing for set-up, tool changes, inspection and planned downtime. This estimate enables the planner to schedule capacity and compare alternative routing choices.</w:t>
      </w:r>
    </w:p>
    <w:p>
      <w:pPr>
        <w:pStyle w:val="Heading1"/>
        <w:spacing w:before="260" w:after="120"/>
      </w:pPr>
      <w:r>
        <w:rPr>
          <w:rFonts w:ascii="Aptos Display" w:hAnsi="Aptos Display"/>
          <w:color w:val="000000"/>
        </w:rPr>
        <w:t>7 Quality Control and Risk Management</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Control point</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Method and frequency</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Acceptance requirement</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7"/>
              </w:rPr>
              <w:t>Reaction if nonconforming</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Raw material</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Certificate check and visual inspection for each batch</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EN8/C45 grade; no severe corrosion or bends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Quarantine and notify stores/quality.</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First-off turning</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Vernier, bore gauge, dial indicator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Dimensions per drawing; runout &lt;= 0.03 mm</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Adjust offset or jaws; repeat first-off.</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Keyway</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Go/no-go gauge and depth micrometer every 25 parts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8 mm width and specified depth</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Stop VMC operation; inspect last accepted interval.</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center"/>
            </w:pPr>
            <w:r>
              <w:rPr>
                <w:rFonts w:ascii="Aptos" w:hAnsi="Aptos"/>
                <w:b w:val="0"/>
                <w:color w:val="000000"/>
                <w:sz w:val="18"/>
              </w:rPr>
              <w:t>PCD holes and threads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CMM/sample fixture and thread plug gauge every 25 parts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Correct 68 mm PCD; M8 thread passes gauge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jc w:val="left"/>
            </w:pPr>
            <w:r>
              <w:rPr>
                <w:rFonts w:ascii="Aptos" w:hAnsi="Aptos"/>
                <w:b w:val="0"/>
                <w:color w:val="000000"/>
                <w:sz w:val="18"/>
              </w:rPr>
              <w:t>Correct program/tool; rework only if approved.</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val="0"/>
                <w:color w:val="000000"/>
                <w:sz w:val="18"/>
              </w:rPr>
              <w:t>Final inspection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100% visual; critical-dimension sampling</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Clean, burr-free, traceable and protected</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val="0"/>
                <w:color w:val="000000"/>
                <w:sz w:val="18"/>
              </w:rPr>
              <w:t>Segregate; raise nonconformance report.</w:t>
            </w:r>
          </w:p>
        </w:tc>
      </w:tr>
    </w:tbl>
    <w:p>
      <w:pPr>
        <w:spacing w:after="20"/>
      </w:pPr>
    </w:p>
    <w:p>
      <w:pPr>
        <w:pStyle w:val="Heading2"/>
        <w:spacing w:before="160" w:after="120"/>
      </w:pPr>
      <w:r>
        <w:rPr>
          <w:rFonts w:ascii="Aptos Display" w:hAnsi="Aptos Display"/>
          <w:color w:val="000000"/>
        </w:rPr>
        <w:t>7.1 Principal risks and controls</w:t>
      </w:r>
    </w:p>
    <w:p>
      <w:pPr>
        <w:spacing w:after="140" w:line="276" w:lineRule="auto"/>
      </w:pPr>
      <w:r>
        <w:rPr>
          <w:rFonts w:ascii="Aptos" w:hAnsi="Aptos"/>
          <w:sz w:val="21"/>
        </w:rPr>
        <w:t>The dominant technical risk is loss of concentricity between the bore and turned diameters. It is controlled by completing both features in the same lathe set-up and verifying runout during first-off inspection. A second risk is a misplaced keyway or bolt circle. Using the finished bore on an expanding mandrel establishes a repeatable axis and avoids locating on an unfinished outside diameter. Burrs are controlled by specified chamfering, a dedicated deburring step and visual inspection before packing.</w:t>
      </w:r>
    </w:p>
    <w:p>
      <w:pPr>
        <w:pStyle w:val="Heading1"/>
        <w:spacing w:before="260" w:after="120"/>
      </w:pPr>
      <w:r>
        <w:rPr>
          <w:rFonts w:ascii="Aptos Display" w:hAnsi="Aptos Display"/>
          <w:color w:val="000000"/>
        </w:rPr>
        <w:t>8 Conclusion and Future Scope</w:t>
      </w:r>
    </w:p>
    <w:p>
      <w:pPr>
        <w:spacing w:after="140" w:line="276" w:lineRule="auto"/>
      </w:pPr>
      <w:r>
        <w:rPr>
          <w:rFonts w:ascii="Aptos" w:hAnsi="Aptos"/>
          <w:sz w:val="21"/>
        </w:rPr>
        <w:t>This case study demonstrates how a component drawing can be translated into a controlled manufacturing route. The plan starts with suitable bar stock, establishes the functional flange face and bore as datums, completes rotational features in one lathe set-up and uses the finished bore for accurate secondary machining. Inspection is placed at material receipt, first-off approval, in-process sampling and final release, creating a practical balance of quality and production efficiency.</w:t>
      </w:r>
    </w:p>
    <w:p>
      <w:pPr>
        <w:spacing w:after="140" w:line="276" w:lineRule="auto"/>
      </w:pPr>
      <w:r>
        <w:rPr>
          <w:rFonts w:ascii="Aptos" w:hAnsi="Aptos"/>
          <w:sz w:val="21"/>
        </w:rPr>
        <w:t>For higher volumes, the route can be improved through bar-fed turning, automated part transfer, in-machine probing and a dedicated hydraulic fixture. Statistical process control on the bore and runout dimensions would further reduce inspection effort once the process capability is demonstrated. The same planning logic can be adapted to other shaft-coupling components with different materials, tolerances or production volumes.</w:t>
      </w:r>
    </w:p>
    <w:p>
      <w:pPr>
        <w:pStyle w:val="Heading1"/>
        <w:spacing w:before="260" w:after="120"/>
      </w:pPr>
      <w:r>
        <w:rPr>
          <w:rFonts w:ascii="Aptos Display" w:hAnsi="Aptos Display"/>
          <w:color w:val="000000"/>
        </w:rPr>
        <w:t>Reference</w:t>
      </w:r>
    </w:p>
    <w:p>
      <w:pPr>
        <w:spacing w:after="140" w:line="276" w:lineRule="auto"/>
      </w:pPr>
      <w:r>
        <w:rPr>
          <w:rFonts w:ascii="Aptos" w:hAnsi="Aptos"/>
          <w:sz w:val="21"/>
        </w:rPr>
        <w:t>Reference structure: supplied case-report PDF, used as a guide for academic report organisation. Technical dimensions and manufacturing plan in this document are independently prepared for the selected flanged hub case.</w:t>
      </w:r>
    </w:p>
    <w:sectPr w:rsidR="00FC693F" w:rsidRPr="0006063C" w:rsidSect="00034616">
      <w:footerReference w:type="default" r:id="rId9"/>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Process Planning Case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Planning for a Manufactured Component Case Study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