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EGAILE System Architecture</w:t>
      </w:r>
    </w:p>
    <w:p>
      <w:r>
        <w:t>Architecture 1.0  |  16 October 2026  |  Diagram 1 of 2</w:t>
      </w:r>
    </w:p>
    <w:p>
      <w:r>
        <w:drawing>
          <wp:inline xmlns:a="http://schemas.openxmlformats.org/drawingml/2006/main" xmlns:pic="http://schemas.openxmlformats.org/drawingml/2006/picture">
            <wp:extent cx="6172200" cy="6954012"/>
            <wp:docPr id="1" name="Picture 1" descr="Proposed Firebase architecture. Solid arrows show principal launch flows. The grey module is later scope. No production resources are deployed by this docu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5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Proposed Firebase architecture. Solid arrows show principal launch flows. The grey module is later scope. No production resources are deployed by this document.</w:t>
      </w:r>
    </w:p>
    <w:p>
      <w:r>
        <w:br w:type="page"/>
      </w:r>
    </w:p>
    <w:p>
      <w:pPr>
        <w:pStyle w:val="Title"/>
      </w:pPr>
      <w:r>
        <w:t>EGAILE Reliability and Integration Flow</w:t>
      </w:r>
    </w:p>
    <w:p>
      <w:r>
        <w:t>Architecture 1.0  |  16 October 2026  |  Diagram 2 of 2</w:t>
      </w:r>
    </w:p>
    <w:p>
      <w:r>
        <w:drawing>
          <wp:inline xmlns:a="http://schemas.openxmlformats.org/drawingml/2006/main" xmlns:pic="http://schemas.openxmlformats.org/drawingml/2006/picture">
            <wp:extent cx="6172200" cy="6954012"/>
            <wp:docPr id="2" name="Picture 2" descr="Proposed enquiry acceptance and recovery flow. Confirmation follows the database commit; notification processing runs separately. Future payments have a separate verified event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5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Proposed enquiry acceptance and recovery flow. Confirmation follows the database commit; notification processing runs separately. Future payments have a separate verified event boundary.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EGAILE Architecture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EGAILE Architecture Diagrams</dc:title>
  <dc:subject/>
  <dc:creator>EGAILE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