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4"/>
        </w:rPr>
        <w:t>MCN Research Log — Technical Progress Report (Complete)</w:t>
      </w:r>
    </w:p>
    <w:p>
      <w:pPr>
        <w:jc w:val="center"/>
      </w:pPr>
      <w:r>
        <w:rPr>
          <w:i/>
          <w:color w:val="4472C4"/>
          <w:sz w:val="20"/>
        </w:rPr>
        <w:t>Mycelial Council Network v0.1  |  Runs 1-10 + Ablations  |  February 2026</w:t>
      </w:r>
    </w:p>
    <w:p/>
    <w:p>
      <w:r>
        <w:rPr>
          <w:b/>
          <w:color w:val="1F5C2E"/>
          <w:sz w:val="17"/>
        </w:rPr>
        <w:t>CENTRAL FINDING — Phase 3: Temperature is the dominant performance variable. Single-agent T=0.3 achieves 91%. MCN-LinUCB (3×T=0.3) achieves 86% (−5pp). MCN-GNN (T=0.1/0.5/0.9) achieves 88% = T=0.9 single agent. T_2 achieves 95% in isolation within Run 10, giving a −7pp routing cost vs oracle. No statistically significant routing specialisation (chi-sq p&gt;0.73).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Mycelial Council Network (MCN) v0.1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Hardware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Single GPU workstation · Docker Compose stack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Qwen/Qwen2.5-Coder-7B-Instruct-AWQ (4-bit AWQ)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Phase 1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Runs 1-6: GNN/LinUCB on 12-task benchmark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Phase 2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Runs 7-8: Expanded to 16-task benchmark (exploratory)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Phase 3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Runs 9-10 + 3 ablations: Controlled temperature comparison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Central finding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T=0.3 single agent (91%) beats all MCN variants (86-88%). Temperature dominates routing.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2026-02-23</w:t>
            </w:r>
          </w:p>
        </w:tc>
      </w:tr>
    </w:tbl>
    <w:p/>
    <w:p>
      <w:r>
        <w:rPr>
          <w:b/>
          <w:color w:val="1F3864"/>
          <w:sz w:val="24"/>
        </w:rPr>
        <w:t>All Runs Summary (Runs 1-10)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Run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Router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Task set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Pass%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fibonacci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Routing T0/T1/T2</w:t>
            </w:r>
          </w:p>
        </w:tc>
        <w:tc>
          <w:tcPr>
            <w:tcW w:type="dxa" w:w="1344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Key finding</w:t>
            </w:r>
          </w:p>
        </w:tc>
      </w:tr>
      <w:tr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GNN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83%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0% (false neg)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10/69/21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Infra bugs: unbounded Hypothesis, sys.maxsize, PATCH_MIN=2</w:t>
            </w:r>
          </w:p>
        </w:tc>
      </w:tr>
      <w:tr>
        <w:tc>
          <w:tcPr>
            <w:tcW w:type="dxa" w:w="134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GNN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90%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0% (false neg)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33/48/19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Partial fix; reference_solution channel inactive</w:t>
            </w:r>
          </w:p>
        </w:tc>
      </w:tr>
      <w:tr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GNN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91%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0% (false neg)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33/48/19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Partial fix; Hypothesis still unbounded</w:t>
            </w:r>
          </w:p>
        </w:tc>
      </w:tr>
      <w:tr>
        <w:tc>
          <w:tcPr>
            <w:tcW w:type="dxa" w:w="134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GNN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98%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75%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39/13/48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All infra defects fixed; GNN explores all tribes</w:t>
            </w:r>
          </w:p>
        </w:tc>
      </w:tr>
      <w:tr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GNN*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98%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75%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10/8/82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Inherited GNN state; eps near floor; T2 dominant (82%)</w:t>
            </w:r>
          </w:p>
        </w:tc>
      </w:tr>
      <w:tr>
        <w:tc>
          <w:tcPr>
            <w:tcW w:type="dxa" w:w="1344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LinUCB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97%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62%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100/0/0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Cold-start routing collapse; degenerate single-tribe system</w:t>
            </w:r>
          </w:p>
        </w:tc>
      </w:tr>
      <w:tr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7-8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LinUCB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84.5%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mixed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Exploratory; epsilon-restoration bug; ref-bugs for 3 new tasks</w:t>
            </w:r>
          </w:p>
        </w:tc>
      </w:tr>
      <w:tr>
        <w:tc>
          <w:tcPr>
            <w:tcW w:type="dxa" w:w="1344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LinUCB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86%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40%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71/13/16</w:t>
            </w:r>
          </w:p>
        </w:tc>
        <w:tc>
          <w:tcPr>
            <w:tcW w:type="dxa" w:w="1344"/>
          </w:tcPr>
          <w:p>
            <w:r>
              <w:rPr>
                <w:sz w:val="14"/>
              </w:rPr>
              <w:t>Post-fix; epsilon warm-up working; 5pp BELOW single-agent T=0.3</w:t>
            </w:r>
          </w:p>
        </w:tc>
      </w:tr>
      <w:tr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GNN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88%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60%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66/13/21</w:t>
            </w:r>
          </w:p>
        </w:tc>
        <w:tc>
          <w:tcPr>
            <w:tcW w:type="dxa" w:w="1344"/>
            <w:shd w:fill="E8EEF7" w:color="auto" w:val="clear"/>
          </w:tcPr>
          <w:p>
            <w:r>
              <w:rPr>
                <w:sz w:val="14"/>
              </w:rPr>
              <w:t>Hetero T=0.1/0.5/0.9; MCN=T=0.9 single; T2 isolation=95%; no specialisation (p=0.76)</w:t>
            </w:r>
          </w:p>
        </w:tc>
      </w:tr>
    </w:tbl>
    <w:p/>
    <w:p>
      <w:r>
        <w:rPr>
          <w:b/>
          <w:color w:val="1F3864"/>
          <w:sz w:val="24"/>
        </w:rPr>
        <w:t>Phase 3: Five-Condition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Condition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Temp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Pass%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fibonacci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search_insert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unique_paths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vs MCN-LinUCB</w:t>
            </w:r>
          </w:p>
        </w:tc>
        <w:tc>
          <w:tcPr>
            <w:tcW w:type="dxa" w:w="1176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vs MCN-GNN</w:t>
            </w:r>
          </w:p>
        </w:tc>
      </w:tr>
      <w:tr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T=0.1 single agent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86%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40%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25%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=0pp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−2pp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>T=0.3 single agent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0.3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91%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80%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+5pp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+3pp</w:t>
            </w:r>
          </w:p>
        </w:tc>
      </w:tr>
      <w:tr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T=0.9 single agent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0.9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88%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40%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+2pp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=0pp</w:t>
            </w:r>
          </w:p>
        </w:tc>
      </w:tr>
      <w:tr>
        <w:tc>
          <w:tcPr>
            <w:tcW w:type="dxa" w:w="1176"/>
          </w:tcPr>
          <w:p>
            <w:r>
              <w:rPr>
                <w:sz w:val="14"/>
              </w:rPr>
              <w:t>MCN-LinUCB (Run 9)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0.3×3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86%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40%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1176"/>
          </w:tcPr>
          <w:p>
            <w:r>
              <w:rPr>
                <w:sz w:val="14"/>
              </w:rPr>
              <w:t>−2pp</w:t>
            </w:r>
          </w:p>
        </w:tc>
      </w:tr>
      <w:tr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MCN-GNN (Run 10)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0.1/0.5/0.9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88%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60%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n/m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+2pp</w:t>
            </w:r>
          </w:p>
        </w:tc>
        <w:tc>
          <w:tcPr>
            <w:tcW w:type="dxa" w:w="1176"/>
            <w:shd w:fill="E8EEF7" w:color="auto" w:val="clear"/>
          </w:tcPr>
          <w:p>
            <w:r>
              <w:rPr>
                <w:sz w:val="14"/>
              </w:rPr>
              <w:t>—</w:t>
            </w:r>
          </w:p>
        </w:tc>
      </w:tr>
    </w:tbl>
    <w:p/>
    <w:p>
      <w:r>
        <w:rPr>
          <w:b/>
          <w:color w:val="1F3864"/>
          <w:sz w:val="24"/>
        </w:rPr>
        <w:t>MCN Variants vs Best Single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2351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T=0.3 Solo</w:t>
            </w:r>
          </w:p>
        </w:tc>
        <w:tc>
          <w:tcPr>
            <w:tcW w:type="dxa" w:w="2351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MCN-LinUCB</w:t>
            </w:r>
          </w:p>
        </w:tc>
        <w:tc>
          <w:tcPr>
            <w:tcW w:type="dxa" w:w="2351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MCN-GNN</w:t>
            </w:r>
          </w:p>
        </w:tc>
      </w:tr>
      <w:tr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Pass rate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91%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86% (−5pp)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88% (−3pp)</w:t>
            </w:r>
          </w:p>
        </w:tc>
      </w:tr>
      <w:tr>
        <w:tc>
          <w:tcPr>
            <w:tcW w:type="dxa" w:w="2351"/>
          </w:tcPr>
          <w:p>
            <w:r>
              <w:rPr>
                <w:sz w:val="14"/>
              </w:rPr>
              <w:t>fibonacci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80%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40% (−40pp)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60% (−20pp)</w:t>
            </w:r>
          </w:p>
        </w:tc>
      </w:tr>
      <w:tr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Routing dist.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71/13/16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66/13/21</w:t>
            </w:r>
          </w:p>
        </w:tc>
      </w:tr>
      <w:tr>
        <w:tc>
          <w:tcPr>
            <w:tcW w:type="dxa" w:w="2351"/>
          </w:tcPr>
          <w:p>
            <w:r>
              <w:rPr>
                <w:sz w:val="14"/>
              </w:rPr>
              <w:t>Chi-sq. p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0.737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0.762</w:t>
            </w:r>
          </w:p>
        </w:tc>
      </w:tr>
      <w:tr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Specialisation?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351"/>
          </w:tcPr>
          <w:p>
            <w:r>
              <w:rPr>
                <w:sz w:val="14"/>
              </w:rPr>
              <w:t>T_2 isolation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88% (T=0.9)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95% (within-run)</w:t>
            </w:r>
          </w:p>
        </w:tc>
      </w:tr>
      <w:tr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Oracle gap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—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2351"/>
            <w:shd w:fill="E8EEF7" w:color="auto" w:val="clear"/>
          </w:tcPr>
          <w:p>
            <w:r>
              <w:rPr>
                <w:sz w:val="14"/>
              </w:rPr>
              <w:t>−7pp vs T_2 solo</w:t>
            </w:r>
          </w:p>
        </w:tc>
      </w:tr>
      <w:tr>
        <w:tc>
          <w:tcPr>
            <w:tcW w:type="dxa" w:w="2351"/>
          </w:tcPr>
          <w:p>
            <w:r>
              <w:rPr>
                <w:sz w:val="14"/>
              </w:rPr>
              <w:t>Verdict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BEST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−5pp vs best</w:t>
            </w:r>
          </w:p>
        </w:tc>
        <w:tc>
          <w:tcPr>
            <w:tcW w:type="dxa" w:w="2351"/>
          </w:tcPr>
          <w:p>
            <w:r>
              <w:rPr>
                <w:sz w:val="14"/>
              </w:rPr>
              <w:t>=T=0.9 solo</w:t>
            </w:r>
          </w:p>
        </w:tc>
      </w:tr>
    </w:tbl>
    <w:p/>
    <w:p>
      <w:r>
        <w:rPr>
          <w:b/>
          <w:color w:val="1F3864"/>
          <w:sz w:val="24"/>
        </w:rPr>
        <w:t>Defect Log (All Phases)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Defect</w:t>
            </w:r>
          </w:p>
        </w:tc>
        <w:tc>
          <w:tcPr>
            <w:tcW w:type="dxa" w:w="3135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135"/>
            <w:shd w:fill="1F3864" w:color="auto" w:val="clea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</w:t>
            </w:r>
          </w:p>
        </w:tc>
      </w:tr>
      <w:tr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sys.maxsize in adversarial test B6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1 (Run 1)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fibonacci hang; masked true cause</w:t>
            </w:r>
          </w:p>
        </w:tc>
      </w:tr>
      <w:tr>
        <w:tc>
          <w:tcPr>
            <w:tcW w:type="dxa" w:w="3135"/>
          </w:tcPr>
          <w:p>
            <w:r>
              <w:rPr>
                <w:sz w:val="14"/>
              </w:rPr>
              <w:t>st.integers() unbounded in Hypothesis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1 (Runs 1-3)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fibonacci 0%; corrupted rewards for 3 runs</w:t>
            </w:r>
          </w:p>
        </w:tc>
      </w:tr>
      <w:tr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PATCH_MIN_ATTEMPTS=2 hardcoded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1 (Run 1)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0 patches stored; hints inactive</w:t>
            </w:r>
          </w:p>
        </w:tc>
      </w:tr>
      <w:tr>
        <w:tc>
          <w:tcPr>
            <w:tcW w:type="dxa" w:w="3135"/>
          </w:tcPr>
          <w:p>
            <w:r>
              <w:rPr>
                <w:sz w:val="14"/>
              </w:rPr>
              <w:t>permutations reference returns tuples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2 (Runs 7-8)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permutations 0%; tests expect list[list[int]]</w:t>
            </w:r>
          </w:p>
        </w:tc>
      </w:tr>
      <w:tr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unique_paths math.comb crash on m=0/n=0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2 (Runs 7-8)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overseer edge case raises ValueError</w:t>
            </w:r>
          </w:p>
        </w:tc>
      </w:tr>
      <w:tr>
        <w:tc>
          <w:tcPr>
            <w:tcW w:type="dxa" w:w="3135"/>
          </w:tcPr>
          <w:p>
            <w:r>
              <w:rPr>
                <w:sz w:val="14"/>
              </w:rPr>
              <w:t>epsilon restoration overwrites config warm-up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2 (Runs 7-8)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97/1/2 routing collapse after restart</w:t>
            </w:r>
          </w:p>
        </w:tc>
      </w:tr>
      <w:tr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invert_dict spec-oracle contradiction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1 (Run 1)</w:t>
            </w:r>
          </w:p>
        </w:tc>
        <w:tc>
          <w:tcPr>
            <w:tcW w:type="dxa" w:w="3135"/>
            <w:shd w:fill="E8EEF7" w:color="auto" w:val="clear"/>
          </w:tcPr>
          <w:p>
            <w:r>
              <w:rPr>
                <w:sz w:val="14"/>
              </w:rPr>
              <w:t>8% pass-rate loss from bad task spec</w:t>
            </w:r>
          </w:p>
        </w:tc>
      </w:tr>
      <w:tr>
        <w:tc>
          <w:tcPr>
            <w:tcW w:type="dxa" w:w="3135"/>
          </w:tcPr>
          <w:p>
            <w:r>
              <w:rPr>
                <w:sz w:val="14"/>
              </w:rPr>
              <w:t>has_cycle: model capability limit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2-3 (all)</w:t>
            </w:r>
          </w:p>
        </w:tc>
        <w:tc>
          <w:tcPr>
            <w:tcW w:type="dxa" w:w="3135"/>
          </w:tcPr>
          <w:p>
            <w:r>
              <w:rPr>
                <w:sz w:val="14"/>
              </w:rPr>
              <w:t>0% across all runs; Kahn's reference ineffective for 7B</w:t>
            </w:r>
          </w:p>
        </w:tc>
      </w:tr>
    </w:tbl>
    <w:p/>
    <w:p>
      <w:r>
        <w:rPr>
          <w:b/>
          <w:color w:val="1F3864"/>
          <w:sz w:val="24"/>
        </w:rPr>
        <w:t>Current System State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Overall finding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Temperature dominates routing. T=0.3 optimal (91%). Routing adds no benefit with same-model tribes.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MCN-LinUCB (R9)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86%; 71/13/16; chi-sq p=0.74; 5pp BELOW single-agent T=0.3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MCN-GNN (R10)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88%; 66/13/21; chi-sq p=0.76; T_2 isolation=95%; oracle gap=−7pp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T=0.3 ablation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91% — best overall; fibonacci 80%; search_insert 100%; unique_paths 100%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T=0.9 ablation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88% — matches MCN-GNN; fibonacci 40%; unique_paths 100%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T=0.1 ablation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86% — matches MCN-LinUCB; search_insert 25% (deterministic failure)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has_cycle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0% in ALL conditions — 7B model capability limit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18"/>
              </w:rPr>
              <w:t>fibonacci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T=0.3 best (80%); T_2 in MCN-GNN improved to 60% via high-variance search</w:t>
            </w:r>
          </w:p>
        </w:tc>
      </w:tr>
      <w:tr>
        <w:tc>
          <w:tcPr>
            <w:tcW w:type="dxa" w:w="4703"/>
            <w:shd w:fill="E8EEF7" w:color="auto" w:val="clear"/>
          </w:tcPr>
          <w:p>
            <w:r>
              <w:rPr>
                <w:b/>
                <w:sz w:val="18"/>
              </w:rPr>
              <w:t>Patch registry</w:t>
            </w:r>
          </w:p>
        </w:tc>
        <w:tc>
          <w:tcPr>
            <w:tcW w:type="dxa" w:w="4703"/>
            <w:shd w:fill="E8EEF7" w:color="auto" w:val="clear"/>
          </w:tcPr>
          <w:p>
            <w:r>
              <w:rPr>
                <w:sz w:val="18"/>
              </w:rPr>
              <w:t>GNN runs: 279-377 patches (ChromaDB); LinUCB runs: 86-97 patches (in-memory)</w:t>
            </w:r>
          </w:p>
        </w:tc>
      </w:tr>
      <w:tr>
        <w:tc>
          <w:tcPr>
            <w:tcW w:type="dxa" w:w="4703"/>
            <w:shd w:fill="D6E4F0" w:color="auto" w:val="clear"/>
          </w:tcPr>
          <w:p>
            <w:r>
              <w:rPr>
                <w:b/>
                <w:sz w:val="18"/>
              </w:rPr>
              <w:t>Next step A</w:t>
            </w:r>
          </w:p>
        </w:tc>
        <w:tc>
          <w:tcPr>
            <w:tcW w:type="dxa" w:w="4703"/>
            <w:shd w:fill="D6E4F0" w:color="auto" w:val="clear"/>
          </w:tcPr>
          <w:p>
            <w:r>
              <w:rPr>
                <w:sz w:val="18"/>
              </w:rPr>
              <w:t>True model diversity: Route between qualitatively different models</w:t>
            </w:r>
          </w:p>
        </w:tc>
      </w:tr>
      <w:tr>
        <w:tc>
          <w:tcPr>
            <w:tcW w:type="dxa" w:w="4703"/>
            <w:shd w:fill="E8EEF7" w:color="auto" w:val="clear"/>
            <w:shd w:fill="D6E4F0" w:color="auto" w:val="clear"/>
          </w:tcPr>
          <w:p>
            <w:r>
              <w:rPr>
                <w:b/>
                <w:sz w:val="18"/>
              </w:rPr>
              <w:t>Next step B</w:t>
            </w:r>
          </w:p>
        </w:tc>
        <w:tc>
          <w:tcPr>
            <w:tcW w:type="dxa" w:w="4703"/>
            <w:shd w:fill="E8EEF7" w:color="auto" w:val="clear"/>
            <w:shd w:fill="D6E4F0" w:color="auto" w:val="clear"/>
          </w:tcPr>
          <w:p>
            <w:r>
              <w:rPr>
                <w:sz w:val="18"/>
              </w:rPr>
              <w:t>Scale: n=500+ tasks, 20+ task types for GNN specialisation signal</w:t>
            </w:r>
          </w:p>
        </w:tc>
      </w:tr>
      <w:tr>
        <w:tc>
          <w:tcPr>
            <w:tcW w:type="dxa" w:w="4703"/>
            <w:shd w:fill="D6E4F0" w:color="auto" w:val="clear"/>
          </w:tcPr>
          <w:p>
            <w:r>
              <w:rPr>
                <w:b/>
                <w:sz w:val="18"/>
              </w:rPr>
              <w:t>Next step C</w:t>
            </w:r>
          </w:p>
        </w:tc>
        <w:tc>
          <w:tcPr>
            <w:tcW w:type="dxa" w:w="4703"/>
            <w:shd w:fill="D6E4F0" w:color="auto" w:val="clear"/>
          </w:tcPr>
          <w:p>
            <w:r>
              <w:rPr>
                <w:sz w:val="18"/>
              </w:rPr>
              <w:t>Adaptive temperature: Continuous router output, not fixed per-tribe</w:t>
            </w:r>
          </w:p>
        </w:tc>
      </w:tr>
      <w:tr>
        <w:tc>
          <w:tcPr>
            <w:tcW w:type="dxa" w:w="4703"/>
            <w:shd w:fill="E8EEF7" w:color="auto" w:val="clear"/>
            <w:shd w:fill="D6E4F0" w:color="auto" w:val="clear"/>
          </w:tcPr>
          <w:p>
            <w:r>
              <w:rPr>
                <w:b/>
                <w:sz w:val="18"/>
              </w:rPr>
              <w:t>Next step D</w:t>
            </w:r>
          </w:p>
        </w:tc>
        <w:tc>
          <w:tcPr>
            <w:tcW w:type="dxa" w:w="4703"/>
            <w:shd w:fill="E8EEF7" w:color="auto" w:val="clear"/>
            <w:shd w:fill="D6E4F0" w:color="auto" w:val="clear"/>
          </w:tcPr>
          <w:p>
            <w:r>
              <w:rPr>
                <w:sz w:val="18"/>
              </w:rPr>
              <w:t>Harder task distribution: Competitive programming / algorithmic variance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