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A1A1A"/>
          <w:sz w:val="40"/>
          <w:szCs w:val="40"/>
        </w:rPr>
        <w:t xml:space="preserve">The GenMyō Story</w:t>
      </w:r>
    </w:p>
    <w:p>
      <w:pPr>
        <w:spacing w:after="260"/>
      </w:pPr>
      <w:r>
        <w:rPr>
          <w:rFonts w:ascii="Georgia" w:cs="Georgia" w:eastAsia="Georgia" w:hAnsi="Georgia"/>
          <w:i/>
          <w:iCs/>
          <w:color w:val="555555"/>
          <w:sz w:val="22"/>
          <w:szCs w:val="22"/>
        </w:rPr>
        <w:t xml:space="preserve">For Gaurav · the About / Story page</w:t>
      </w:r>
    </w:p>
    <w:p>
      <w:pPr>
        <w:spacing w:after="100" w:before="260"/>
      </w:pPr>
      <w:r>
        <w:rPr>
          <w:rFonts w:ascii="Georgia" w:cs="Georgia" w:eastAsia="Georgia" w:hAnsi="Georgia"/>
          <w:b/>
          <w:bCs/>
          <w:color w:val="9A6A16"/>
          <w:sz w:val="26"/>
          <w:szCs w:val="26"/>
        </w:rPr>
        <w:t xml:space="preserve">The question worth asking</w:t>
      </w:r>
    </w:p>
    <w:p>
      <w:pPr>
        <w:spacing w:after="140"/>
      </w:pPr>
      <w:r>
        <w:rPr>
          <w:rFonts w:ascii="Georgia" w:cs="Georgia" w:eastAsia="Georgia" w:hAnsi="Georgia"/>
          <w:b w:val="false"/>
          <w:bCs w:val="false"/>
          <w:i w:val="false"/>
          <w:iCs w:val="false"/>
          <w:color w:val="1A1A1A"/>
          <w:sz w:val="23"/>
          <w:szCs w:val="23"/>
        </w:rPr>
        <w:t xml:space="preserve">What if the answers you have been searching for, in all the noise, were never out there to begin with?</w:t>
      </w:r>
    </w:p>
    <w:p>
      <w:pPr>
        <w:spacing w:after="140"/>
      </w:pPr>
      <w:r>
        <w:rPr>
          <w:rFonts w:ascii="Georgia" w:cs="Georgia" w:eastAsia="Georgia" w:hAnsi="Georgia"/>
          <w:b w:val="false"/>
          <w:bCs w:val="false"/>
          <w:i w:val="false"/>
          <w:iCs w:val="false"/>
          <w:color w:val="1A1A1A"/>
          <w:sz w:val="23"/>
          <w:szCs w:val="23"/>
        </w:rPr>
        <w:t xml:space="preserve">Sooner or later, life asks something hard of all of us. And when it does, we are left holding the same quiet questions. Who am I. What do I really want. Why do I feel this way, when so much is going right. What we are reaching for, underneath it all, is the same. Answers, and a steady kind of happiness that holds up when life does not.</w:t>
      </w:r>
    </w:p>
    <w:p>
      <w:pPr>
        <w:spacing w:after="100" w:before="260"/>
      </w:pPr>
      <w:r>
        <w:rPr>
          <w:rFonts w:ascii="Georgia" w:cs="Georgia" w:eastAsia="Georgia" w:hAnsi="Georgia"/>
          <w:b/>
          <w:bCs/>
          <w:color w:val="9A6A16"/>
          <w:sz w:val="26"/>
          <w:szCs w:val="26"/>
        </w:rPr>
        <w:t xml:space="preserve">We keep looking outward</w:t>
      </w:r>
    </w:p>
    <w:p>
      <w:pPr>
        <w:spacing w:after="140"/>
      </w:pPr>
      <w:r>
        <w:rPr>
          <w:rFonts w:ascii="Georgia" w:cs="Georgia" w:eastAsia="Georgia" w:hAnsi="Georgia"/>
          <w:b w:val="false"/>
          <w:bCs w:val="false"/>
          <w:i w:val="false"/>
          <w:iCs w:val="false"/>
          <w:color w:val="1A1A1A"/>
          <w:sz w:val="23"/>
          <w:szCs w:val="23"/>
        </w:rPr>
        <w:t xml:space="preserve">So look at where we go searching. Apps and quick fixes give a moment of relief and leave us where we started. Feeds and notifications promise connection and leave us more scattered than before. Slowly, the noise crowds out the very abilities that once carried us through: the ability to pause, to reflect, to be curious, to find our own way to a solution. The truth we keep missing is that the answers were never in the noise. They were always within us.</w:t>
      </w:r>
    </w:p>
    <w:p>
      <w:pPr>
        <w:spacing w:after="100" w:before="260"/>
      </w:pPr>
      <w:r>
        <w:rPr>
          <w:rFonts w:ascii="Georgia" w:cs="Georgia" w:eastAsia="Georgia" w:hAnsi="Georgia"/>
          <w:b/>
          <w:bCs/>
          <w:color w:val="9A6A16"/>
          <w:sz w:val="26"/>
          <w:szCs w:val="26"/>
        </w:rPr>
        <w:t xml:space="preserve">How I came to this</w:t>
      </w:r>
    </w:p>
    <w:p>
      <w:pPr>
        <w:spacing w:after="140"/>
      </w:pPr>
      <w:r>
        <w:rPr>
          <w:rFonts w:ascii="Georgia" w:cs="Georgia" w:eastAsia="Georgia" w:hAnsi="Georgia"/>
          <w:b w:val="false"/>
          <w:bCs w:val="false"/>
          <w:i w:val="false"/>
          <w:iCs w:val="false"/>
          <w:color w:val="1A1A1A"/>
          <w:sz w:val="23"/>
          <w:szCs w:val="23"/>
        </w:rPr>
        <w:t xml:space="preserve">I did not arrive at this from theory. I spent twenty-one years with a leading international bank, working in risk and resilience, recognised among the top fifty globally in my field, and working alongside leading regulators around the world. Then, in 2011, I chose to leave it behind, to give back to a still young profession, operational risk, and to help the people building their careers in it. That became ORP2b. Across all of it, my years inside the corporate world and later among ORP2b's clients and partners, I kept seeing the same thing beneath the surface. Not just the struggling, and not just the successful. Everyone was carrying something, a question, a quiet emptiness, with nowhere to set it down. And this was never only a corporate story. I saw it in the society around me, across generations.</w:t>
      </w:r>
    </w:p>
    <w:p>
      <w:pPr>
        <w:spacing w:after="140"/>
      </w:pPr>
      <w:r>
        <w:rPr>
          <w:rFonts w:ascii="Georgia" w:cs="Georgia" w:eastAsia="Georgia" w:hAnsi="Georgia"/>
          <w:b w:val="false"/>
          <w:bCs w:val="false"/>
          <w:i w:val="false"/>
          <w:iCs w:val="false"/>
          <w:color w:val="1A1A1A"/>
          <w:sz w:val="23"/>
          <w:szCs w:val="23"/>
        </w:rPr>
        <w:t xml:space="preserve">I have lived it myself. Building on my own brought a loneliness no one warns you about. I still remember sitting out on the balcony at 3am, long after the house had gone quiet, turning the same questions over and over. Was I on the right track. Like many of my generation, I had been raised to hold it together, to be the steady one, to cope quietly and never let it show. My family carried it with me, more than I always let them see. Once, we made it to the final two for a project against every major consulting firm and vendor in the field. For a few days it felt like everything was about to change. Then came the no, and the silence after it, and the long question of whether I had ever really belonged in that room at all. You learn who is truly there in those moments, and you start to see people, others and yourself, more honestly. A Buddhist practice I took up in 2013 gently shifted how I see the world, deepening my sense of our shared humanity and how much our inner wellness shapes everything. Slowly I found a resilience I did not know I had, and began to see the struggle, and the strength, in others far more clearly.</w:t>
      </w:r>
    </w:p>
    <w:p>
      <w:pPr>
        <w:spacing w:after="100" w:before="260"/>
      </w:pPr>
      <w:r>
        <w:rPr>
          <w:rFonts w:ascii="Georgia" w:cs="Georgia" w:eastAsia="Georgia" w:hAnsi="Georgia"/>
          <w:b/>
          <w:bCs/>
          <w:color w:val="9A6A16"/>
          <w:sz w:val="26"/>
          <w:szCs w:val="26"/>
        </w:rPr>
        <w:t xml:space="preserve">Starting with the person</w:t>
      </w:r>
    </w:p>
    <w:p>
      <w:pPr>
        <w:spacing w:after="140"/>
      </w:pPr>
      <w:r>
        <w:rPr>
          <w:rFonts w:ascii="Georgia" w:cs="Georgia" w:eastAsia="Georgia" w:hAnsi="Georgia"/>
          <w:b w:val="false"/>
          <w:bCs w:val="false"/>
          <w:i w:val="false"/>
          <w:iCs w:val="false"/>
          <w:color w:val="1A1A1A"/>
          <w:sz w:val="23"/>
          <w:szCs w:val="23"/>
        </w:rPr>
        <w:t xml:space="preserve">One thing became clear. We had grown very good at building resilient systems, and somehow stopped looking after well people. So I chose to start with the person. Whatever already grounds you, your faith, your family, your community, GenMyō is not here to replace it. It is here to help you hear yourself more clearly.</w:t>
      </w:r>
    </w:p>
    <w:p>
      <w:pPr>
        <w:spacing w:after="100" w:before="260"/>
      </w:pPr>
      <w:r>
        <w:rPr>
          <w:rFonts w:ascii="Georgia" w:cs="Georgia" w:eastAsia="Georgia" w:hAnsi="Georgia"/>
          <w:b/>
          <w:bCs/>
          <w:color w:val="9A6A16"/>
          <w:sz w:val="26"/>
          <w:szCs w:val="26"/>
        </w:rPr>
        <w:t xml:space="preserve">A guide, always within reach</w:t>
      </w:r>
    </w:p>
    <w:p>
      <w:pPr>
        <w:spacing w:after="140"/>
      </w:pPr>
      <w:r>
        <w:rPr>
          <w:rFonts w:ascii="Georgia" w:cs="Georgia" w:eastAsia="Georgia" w:hAnsi="Georgia"/>
          <w:b w:val="false"/>
          <w:bCs w:val="false"/>
          <w:i w:val="false"/>
          <w:iCs w:val="false"/>
          <w:color w:val="1A1A1A"/>
          <w:sz w:val="23"/>
          <w:szCs w:val="23"/>
        </w:rPr>
        <w:t xml:space="preserve">Imagine a place you can turn to whenever you need it, day or night, that is only ever interested in one thing. You, and how you are truly doing. Picture someone at the end of a heavy day who types a single honest sentence instead of scrolling. </w:t>
      </w:r>
      <w:r>
        <w:rPr>
          <w:rFonts w:ascii="Georgia" w:cs="Georgia" w:eastAsia="Georgia" w:hAnsi="Georgia"/>
          <w:b w:val="false"/>
          <w:bCs w:val="false"/>
          <w:i/>
          <w:iCs/>
          <w:color w:val="1A1A1A"/>
          <w:sz w:val="23"/>
          <w:szCs w:val="23"/>
        </w:rPr>
        <w:t xml:space="preserve">I feel like I am failing at everything and I do not know why.</w:t>
      </w:r>
      <w:r>
        <w:rPr>
          <w:rFonts w:ascii="Georgia" w:cs="Georgia" w:eastAsia="Georgia" w:hAnsi="Georgia"/>
          <w:b w:val="false"/>
          <w:bCs w:val="false"/>
          <w:i w:val="false"/>
          <w:iCs w:val="false"/>
          <w:color w:val="1A1A1A"/>
          <w:sz w:val="23"/>
          <w:szCs w:val="23"/>
        </w:rPr>
        <w:t xml:space="preserve"> And rather than a like, an ad, or silence, something answers. Not with a lecture, but with a question that helps them see the day a little more clearly. That small moment, lived again and again, is what we built GenMyō for. It is not a therapist and does not pretend to be, and the moment you need a real person, it will help you reach one.</w:t>
      </w:r>
    </w:p>
    <w:p>
      <w:pPr>
        <w:spacing w:after="100" w:before="260"/>
      </w:pPr>
      <w:r>
        <w:rPr>
          <w:rFonts w:ascii="Georgia" w:cs="Georgia" w:eastAsia="Georgia" w:hAnsi="Georgia"/>
          <w:b/>
          <w:bCs/>
          <w:color w:val="9A6A16"/>
          <w:sz w:val="26"/>
          <w:szCs w:val="26"/>
        </w:rPr>
        <w:t xml:space="preserve">Built on real science</w:t>
      </w:r>
    </w:p>
    <w:p>
      <w:pPr>
        <w:spacing w:after="140"/>
      </w:pPr>
      <w:r>
        <w:rPr>
          <w:rFonts w:ascii="Georgia" w:cs="Georgia" w:eastAsia="Georgia" w:hAnsi="Georgia"/>
          <w:b w:val="false"/>
          <w:bCs w:val="false"/>
          <w:i w:val="false"/>
          <w:iCs w:val="false"/>
          <w:color w:val="1A1A1A"/>
          <w:sz w:val="23"/>
          <w:szCs w:val="23"/>
        </w:rPr>
        <w:t xml:space="preserve">None of this is wishful thinking. Beneath the simple conversation sits a framework we have spent years building, grounded in reality, behavioural psychology and neuroscience. You will never see the machinery. You are only meant to feel understood, because the brain is not fixed. It reshapes itself, at any age, through small things done often.</w:t>
      </w:r>
    </w:p>
    <w:p>
      <w:pPr>
        <w:spacing w:after="100" w:before="260"/>
      </w:pPr>
      <w:r>
        <w:rPr>
          <w:rFonts w:ascii="Georgia" w:cs="Georgia" w:eastAsia="Georgia" w:hAnsi="Georgia"/>
          <w:b/>
          <w:bCs/>
          <w:color w:val="9A6A16"/>
          <w:sz w:val="26"/>
          <w:szCs w:val="26"/>
        </w:rPr>
        <w:t xml:space="preserve">Inner Wellness Intelligence</w:t>
      </w:r>
    </w:p>
    <w:p>
      <w:pPr>
        <w:spacing w:after="140"/>
      </w:pPr>
      <w:r>
        <w:rPr>
          <w:rFonts w:ascii="Georgia" w:cs="Georgia" w:eastAsia="Georgia" w:hAnsi="Georgia"/>
          <w:b w:val="false"/>
          <w:bCs w:val="false"/>
          <w:i w:val="false"/>
          <w:iCs w:val="false"/>
          <w:color w:val="1A1A1A"/>
          <w:sz w:val="23"/>
          <w:szCs w:val="23"/>
        </w:rPr>
        <w:t xml:space="preserve">What all of this builds in you has a name. Inner Wellness Intelligence. We understand intelligence in many forms already. IQ for the mind. EQ for emotions. Inner Wellness Intelligence is the next one, the lifelong capacity to understand your inner world, steady it when life shakes it, and keep lifting it, so you can thrive in your outer one. Like any intelligence, it can be strengthened at any age, in good seasons and hard ones alike.</w:t>
      </w:r>
    </w:p>
    <w:p>
      <w:pPr>
        <w:spacing w:after="140"/>
      </w:pPr>
      <w:r>
        <w:rPr>
          <w:rFonts w:ascii="Georgia" w:cs="Georgia" w:eastAsia="Georgia" w:hAnsi="Georgia"/>
          <w:b w:val="false"/>
          <w:bCs w:val="false"/>
          <w:i w:val="false"/>
          <w:iCs w:val="false"/>
          <w:color w:val="1A1A1A"/>
          <w:sz w:val="23"/>
          <w:szCs w:val="23"/>
        </w:rPr>
        <w:t xml:space="preserve">The name carries the whole idea. Gen, for generations. Myō, for bringing light, for rejuvenating what has grown dim. Generations, renewing together.</w:t>
      </w:r>
    </w:p>
    <w:p>
      <w:pPr>
        <w:spacing w:after="100" w:before="260"/>
      </w:pPr>
      <w:r>
        <w:rPr>
          <w:rFonts w:ascii="Georgia" w:cs="Georgia" w:eastAsia="Georgia" w:hAnsi="Georgia"/>
          <w:b/>
          <w:bCs/>
          <w:color w:val="9A6A16"/>
          <w:sz w:val="26"/>
          <w:szCs w:val="26"/>
        </w:rPr>
        <w:t xml:space="preserve">Not a transaction. A journey.</w:t>
      </w:r>
    </w:p>
    <w:p>
      <w:pPr>
        <w:spacing w:after="140"/>
      </w:pPr>
      <w:r>
        <w:rPr>
          <w:rFonts w:ascii="Georgia" w:cs="Georgia" w:eastAsia="Georgia" w:hAnsi="Georgia"/>
          <w:b w:val="false"/>
          <w:bCs w:val="false"/>
          <w:i w:val="false"/>
          <w:iCs w:val="false"/>
          <w:color w:val="1A1A1A"/>
          <w:sz w:val="23"/>
          <w:szCs w:val="23"/>
        </w:rPr>
        <w:t xml:space="preserve">And this is not something you buy once and finish with. GenMyō is a guide for the long journey, and it grows as you grow. It helps you find your feet, then truly know yourself, then live by your own choices, decision by decision, until you hold a steadier hand on your own life. And eventually, when you are full and steady, it helps you do the most meaningful thing a person can do. Turn back, and lift others. The surest way to a stronger family, a stronger team, a stronger society, is a well person.</w:t>
      </w:r>
    </w:p>
    <w:p>
      <w:pPr>
        <w:spacing w:after="100" w:before="260"/>
      </w:pPr>
      <w:r>
        <w:rPr>
          <w:rFonts w:ascii="Georgia" w:cs="Georgia" w:eastAsia="Georgia" w:hAnsi="Georgia"/>
          <w:b/>
          <w:bCs/>
          <w:color w:val="9A6A16"/>
          <w:sz w:val="26"/>
          <w:szCs w:val="26"/>
        </w:rPr>
        <w:t xml:space="preserve">The people behind it</w:t>
      </w:r>
    </w:p>
    <w:p>
      <w:pPr>
        <w:spacing w:after="140"/>
      </w:pPr>
      <w:r>
        <w:rPr>
          <w:rFonts w:ascii="Georgia" w:cs="Georgia" w:eastAsia="Georgia" w:hAnsi="Georgia"/>
          <w:b w:val="false"/>
          <w:bCs w:val="false"/>
          <w:i w:val="false"/>
          <w:iCs w:val="false"/>
          <w:color w:val="1A1A1A"/>
          <w:sz w:val="23"/>
          <w:szCs w:val="23"/>
        </w:rPr>
        <w:t xml:space="preserve">I am not building this alone. My son, Sid, has poured himself into GenMyō beside me, a father and a son from two different generations building a place where generations can renew one another. Around us stands a small team who have each lived the very thing we are building to help with.</w:t>
      </w:r>
    </w:p>
    <w:p>
      <w:pPr>
        <w:spacing w:after="100" w:before="260"/>
      </w:pPr>
      <w:r>
        <w:rPr>
          <w:rFonts w:ascii="Georgia" w:cs="Georgia" w:eastAsia="Georgia" w:hAnsi="Georgia"/>
          <w:b/>
          <w:bCs/>
          <w:color w:val="9A6A16"/>
          <w:sz w:val="26"/>
          <w:szCs w:val="26"/>
        </w:rPr>
        <w:t xml:space="preserve">A story still being written</w:t>
      </w:r>
    </w:p>
    <w:p>
      <w:pPr>
        <w:spacing w:after="140"/>
      </w:pPr>
      <w:r>
        <w:rPr>
          <w:rFonts w:ascii="Georgia" w:cs="Georgia" w:eastAsia="Georgia" w:hAnsi="Georgia"/>
          <w:b w:val="false"/>
          <w:bCs w:val="false"/>
          <w:i w:val="false"/>
          <w:iCs w:val="false"/>
          <w:color w:val="1A1A1A"/>
          <w:sz w:val="23"/>
          <w:szCs w:val="23"/>
        </w:rPr>
        <w:t xml:space="preserve">We launched GenMyō first to listen and to learn, and we are now opening up to individuals and organisations in careful stages, with much more still to come. These are the opening chapters, and the best ones lie ahead.</w:t>
      </w:r>
    </w:p>
    <w:p>
      <w:pPr>
        <w:spacing w:after="100" w:before="260"/>
      </w:pPr>
      <w:r>
        <w:rPr>
          <w:rFonts w:ascii="Georgia" w:cs="Georgia" w:eastAsia="Georgia" w:hAnsi="Georgia"/>
          <w:b/>
          <w:bCs/>
          <w:color w:val="9A6A16"/>
          <w:sz w:val="26"/>
          <w:szCs w:val="26"/>
        </w:rPr>
        <w:t xml:space="preserve">An invitation</w:t>
      </w:r>
    </w:p>
    <w:p>
      <w:pPr>
        <w:spacing w:after="140"/>
      </w:pPr>
      <w:r>
        <w:rPr>
          <w:rFonts w:ascii="Georgia" w:cs="Georgia" w:eastAsia="Georgia" w:hAnsi="Georgia"/>
          <w:b w:val="false"/>
          <w:bCs w:val="false"/>
          <w:i w:val="false"/>
          <w:iCs w:val="false"/>
          <w:color w:val="1A1A1A"/>
          <w:sz w:val="23"/>
          <w:szCs w:val="23"/>
        </w:rPr>
        <w:t xml:space="preserve">So let me leave you with an invitation rather than an explanation. Come and see for yourself. Ask it the question you have been carrying. Your path is already there, waiting for your first step, and there has never been a better moment than now.</w:t>
      </w:r>
    </w:p>
    <w:p>
      <w:pPr>
        <w:spacing w:before="260"/>
      </w:pPr>
      <w:r>
        <w:rPr>
          <w:rFonts w:ascii="Georgia" w:cs="Georgia" w:eastAsia="Georgia" w:hAnsi="Georgia"/>
          <w:b/>
          <w:bCs/>
          <w:color w:val="1A1A1A"/>
          <w:sz w:val="23"/>
          <w:szCs w:val="23"/>
        </w:rPr>
        <w:t xml:space="preserve">Rajit Punshi</w:t>
      </w:r>
      <w:r>
        <w:rPr>
          <w:rFonts w:ascii="Georgia" w:cs="Georgia" w:eastAsia="Georgia" w:hAnsi="Georgia"/>
          <w:color w:val="555555"/>
          <w:sz w:val="23"/>
          <w:szCs w:val="23"/>
        </w:rPr>
        <w:t xml:space="preserve">  ·  Founder and CEO, GenMyō</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2026-08-17T05:37:32.484Z</dcterms:created>
  <dcterms:modified xsi:type="dcterms:W3CDTF">2026-08-17T05:37:32.484Z</dcterms:modified>
</cp:coreProperties>
</file>

<file path=docProps/custom.xml><?xml version="1.0" encoding="utf-8"?>
<Properties xmlns="http://schemas.openxmlformats.org/officeDocument/2006/custom-properties" xmlns:vt="http://schemas.openxmlformats.org/officeDocument/2006/docPropsVTypes"/>
</file>