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6"/>
        </w:rPr>
        <w:t>EV CHARGING DEMAND PREDICTION</w:t>
      </w:r>
    </w:p>
    <w:p>
      <w:pPr>
        <w:jc w:val="center"/>
      </w:pPr>
      <w:r>
        <w:rPr>
          <w:b/>
          <w:sz w:val="32"/>
        </w:rPr>
        <w:t>Next-Hour Station-Level Electric Vehicle Charging Demand Forecasting</w:t>
      </w:r>
    </w:p>
    <w:p/>
    <w:p>
      <w:pPr>
        <w:jc w:val="center"/>
      </w:pPr>
      <w:r>
        <w:rPr>
          <w:sz w:val="36"/>
        </w:rPr>
        <w:t>Project Report</w:t>
      </w:r>
    </w:p>
    <w:p/>
    <w:tbl>
      <w:tblPr>
        <w:tblStyle w:val="TableGrid"/>
        <w:tblW w:type="auto" w:w="0"/>
        <w:jc w:val="center"/>
        <w:tblLook w:firstColumn="1" w:firstRow="1" w:lastColumn="0" w:lastRow="0" w:noHBand="0" w:noVBand="1" w:val="04A0"/>
      </w:tblPr>
      <w:tblGrid>
        <w:gridCol w:w="4968"/>
        <w:gridCol w:w="4968"/>
      </w:tblGrid>
      <w:tr>
        <w:tc>
          <w:tcPr>
            <w:tcW w:type="dxa" w:w="2880"/>
            <w:vAlign w:val="center"/>
            <w:shd w:val="clear" w:color="auto" w:fill="1F4E78"/>
          </w:tcPr>
          <w:p>
            <w:r>
              <w:rPr>
                <w:color w:val="FFFFFF"/>
              </w:rPr>
            </w:r>
            <w:r>
              <w:rPr>
                <w:b/>
                <w:color w:val="FFFFFF"/>
                <w:sz w:val="18"/>
              </w:rPr>
              <w:t>Item</w:t>
            </w:r>
          </w:p>
        </w:tc>
        <w:tc>
          <w:tcPr>
            <w:tcW w:type="dxa" w:w="6048"/>
            <w:vAlign w:val="center"/>
            <w:shd w:val="clear" w:color="auto" w:fill="1F4E78"/>
          </w:tcPr>
          <w:p>
            <w:r>
              <w:rPr>
                <w:color w:val="FFFFFF"/>
              </w:rPr>
            </w:r>
            <w:r>
              <w:rPr>
                <w:b/>
                <w:color w:val="FFFFFF"/>
                <w:sz w:val="18"/>
              </w:rPr>
              <w:t>Details</w:t>
            </w:r>
          </w:p>
        </w:tc>
      </w:tr>
      <w:tr>
        <w:tc>
          <w:tcPr>
            <w:tcW w:type="dxa" w:w="2880"/>
            <w:vAlign w:val="center"/>
          </w:tcPr>
          <w:p>
            <w:r/>
            <w:r>
              <w:rPr>
                <w:b w:val="0"/>
                <w:sz w:val="18"/>
              </w:rPr>
              <w:t>Student</w:t>
            </w:r>
          </w:p>
        </w:tc>
        <w:tc>
          <w:tcPr>
            <w:tcW w:type="dxa" w:w="6048"/>
            <w:vAlign w:val="center"/>
          </w:tcPr>
          <w:p>
            <w:r/>
            <w:r>
              <w:rPr>
                <w:b w:val="0"/>
                <w:sz w:val="18"/>
              </w:rPr>
              <w:t>Deepak Timlapur</w:t>
            </w:r>
          </w:p>
        </w:tc>
      </w:tr>
      <w:tr>
        <w:tc>
          <w:tcPr>
            <w:tcW w:type="dxa" w:w="2880"/>
            <w:vAlign w:val="center"/>
          </w:tcPr>
          <w:p>
            <w:r/>
            <w:r>
              <w:rPr>
                <w:b w:val="0"/>
                <w:sz w:val="18"/>
              </w:rPr>
              <w:t>Project</w:t>
            </w:r>
          </w:p>
        </w:tc>
        <w:tc>
          <w:tcPr>
            <w:tcW w:type="dxa" w:w="6048"/>
            <w:vAlign w:val="center"/>
          </w:tcPr>
          <w:p>
            <w:r/>
            <w:r>
              <w:rPr>
                <w:b w:val="0"/>
                <w:sz w:val="18"/>
              </w:rPr>
              <w:t>EV Charging Demand Prediction</w:t>
            </w:r>
          </w:p>
        </w:tc>
      </w:tr>
      <w:tr>
        <w:tc>
          <w:tcPr>
            <w:tcW w:type="dxa" w:w="2880"/>
            <w:vAlign w:val="center"/>
          </w:tcPr>
          <w:p>
            <w:r/>
            <w:r>
              <w:rPr>
                <w:b w:val="0"/>
                <w:sz w:val="18"/>
              </w:rPr>
              <w:t>Domain</w:t>
            </w:r>
          </w:p>
        </w:tc>
        <w:tc>
          <w:tcPr>
            <w:tcW w:type="dxa" w:w="6048"/>
            <w:vAlign w:val="center"/>
          </w:tcPr>
          <w:p>
            <w:r/>
            <w:r>
              <w:rPr>
                <w:b w:val="0"/>
                <w:sz w:val="18"/>
              </w:rPr>
              <w:t>Data Science / Machine Learning</w:t>
            </w:r>
          </w:p>
        </w:tc>
      </w:tr>
      <w:tr>
        <w:tc>
          <w:tcPr>
            <w:tcW w:type="dxa" w:w="2880"/>
            <w:vAlign w:val="center"/>
          </w:tcPr>
          <w:p>
            <w:r/>
            <w:r>
              <w:rPr>
                <w:b w:val="0"/>
                <w:sz w:val="18"/>
              </w:rPr>
              <w:t>Application</w:t>
            </w:r>
          </w:p>
        </w:tc>
        <w:tc>
          <w:tcPr>
            <w:tcW w:type="dxa" w:w="6048"/>
            <w:vAlign w:val="center"/>
          </w:tcPr>
          <w:p>
            <w:r/>
            <w:r>
              <w:rPr>
                <w:b w:val="0"/>
                <w:sz w:val="18"/>
              </w:rPr>
              <w:t>Electric Vehicle Charging Infrastructure</w:t>
            </w:r>
          </w:p>
        </w:tc>
      </w:tr>
      <w:tr>
        <w:tc>
          <w:tcPr>
            <w:tcW w:type="dxa" w:w="2880"/>
            <w:vAlign w:val="center"/>
          </w:tcPr>
          <w:p>
            <w:r/>
            <w:r>
              <w:rPr>
                <w:b w:val="0"/>
                <w:sz w:val="18"/>
              </w:rPr>
              <w:t>Primary Task</w:t>
            </w:r>
          </w:p>
        </w:tc>
        <w:tc>
          <w:tcPr>
            <w:tcW w:type="dxa" w:w="6048"/>
            <w:vAlign w:val="center"/>
          </w:tcPr>
          <w:p>
            <w:r/>
            <w:r>
              <w:rPr>
                <w:b w:val="0"/>
                <w:sz w:val="18"/>
              </w:rPr>
              <w:t>Next-hour station-level demand forecasting</w:t>
            </w:r>
          </w:p>
        </w:tc>
      </w:tr>
      <w:tr>
        <w:tc>
          <w:tcPr>
            <w:tcW w:type="dxa" w:w="2880"/>
            <w:vAlign w:val="center"/>
          </w:tcPr>
          <w:p>
            <w:r/>
            <w:r>
              <w:rPr>
                <w:b w:val="0"/>
                <w:sz w:val="18"/>
              </w:rPr>
              <w:t>Interface</w:t>
            </w:r>
          </w:p>
        </w:tc>
        <w:tc>
          <w:tcPr>
            <w:tcW w:type="dxa" w:w="6048"/>
            <w:vAlign w:val="center"/>
          </w:tcPr>
          <w:p>
            <w:r/>
            <w:r>
              <w:rPr>
                <w:b w:val="0"/>
                <w:sz w:val="18"/>
              </w:rPr>
              <w:t>Streamlit</w:t>
            </w:r>
          </w:p>
        </w:tc>
      </w:tr>
      <w:tr>
        <w:tc>
          <w:tcPr>
            <w:tcW w:type="dxa" w:w="2880"/>
            <w:vAlign w:val="center"/>
          </w:tcPr>
          <w:p>
            <w:r/>
            <w:r>
              <w:rPr>
                <w:b w:val="0"/>
                <w:sz w:val="18"/>
              </w:rPr>
              <w:t>Selected Model</w:t>
            </w:r>
          </w:p>
        </w:tc>
        <w:tc>
          <w:tcPr>
            <w:tcW w:type="dxa" w:w="6048"/>
            <w:vAlign w:val="center"/>
          </w:tcPr>
          <w:p>
            <w:r/>
            <w:r>
              <w:rPr>
                <w:b w:val="0"/>
                <w:sz w:val="18"/>
              </w:rPr>
              <w:t>Gradient Boosting Regressor</w:t>
            </w:r>
          </w:p>
        </w:tc>
      </w:tr>
    </w:tbl>
    <w:p/>
    <w:p/>
    <w:p>
      <w:r>
        <w:br w:type="page"/>
      </w:r>
    </w:p>
    <w:p>
      <w:pPr>
        <w:pStyle w:val="Heading1"/>
      </w:pPr>
      <w:r>
        <w:t>1. Project Overview</w:t>
      </w:r>
    </w:p>
    <w:p>
      <w:r>
        <w:t>EV Charging Demand Prediction is a machine-learning project designed to forecast the next hour's charging demand at individual electric vehicle charging stations. The project converts sparse charging-session observations into a complete station-by-hour time-series panel, creates leakage-safe historical features, evaluates baseline and regression models, and presents the results through an interactive Streamlit dashboard.</w:t>
      </w:r>
    </w:p>
    <w:p>
      <w:pPr>
        <w:pStyle w:val="Heading2"/>
      </w:pPr>
      <w:r>
        <w:t>Objectives</w:t>
      </w:r>
    </w:p>
    <w:p>
      <w:pPr>
        <w:pStyle w:val="ListBullet"/>
        <w:spacing w:after="40"/>
      </w:pPr>
      <w:r>
        <w:t>Analyze EV charging activity across stations, locations, vehicle types, and time periods.</w:t>
      </w:r>
    </w:p>
    <w:p>
      <w:pPr>
        <w:pStyle w:val="ListBullet"/>
        <w:spacing w:after="40"/>
      </w:pPr>
      <w:r>
        <w:t>Aggregate raw charging observations into a station-level hourly forecasting dataset.</w:t>
      </w:r>
    </w:p>
    <w:p>
      <w:pPr>
        <w:pStyle w:val="ListBullet"/>
        <w:spacing w:after="40"/>
      </w:pPr>
      <w:r>
        <w:t>Create historical lag and rolling features using only information available before the forecast hour.</w:t>
      </w:r>
    </w:p>
    <w:p>
      <w:pPr>
        <w:pStyle w:val="ListBullet"/>
        <w:spacing w:after="40"/>
      </w:pPr>
      <w:r>
        <w:t>Prevent temporal data leakage by excluding contemporaneous demand-related variables from the model.</w:t>
      </w:r>
    </w:p>
    <w:p>
      <w:pPr>
        <w:pStyle w:val="ListBullet"/>
        <w:spacing w:after="40"/>
      </w:pPr>
      <w:r>
        <w:t>Compare baseline forecasting methods with multiple machine-learning regression models.</w:t>
      </w:r>
    </w:p>
    <w:p>
      <w:pPr>
        <w:pStyle w:val="ListBullet"/>
        <w:spacing w:after="40"/>
      </w:pPr>
      <w:r>
        <w:t>Select the model using validation-set MAE and evaluate it on a held-out chronological test period.</w:t>
      </w:r>
    </w:p>
    <w:p>
      <w:pPr>
        <w:pStyle w:val="ListBullet"/>
        <w:spacing w:after="40"/>
      </w:pPr>
      <w:r>
        <w:t>Provide a visual Streamlit interface for exploring the dataset and model results.</w:t>
      </w:r>
    </w:p>
    <w:p>
      <w:pPr>
        <w:pStyle w:val="Heading2"/>
      </w:pPr>
      <w:r>
        <w:t>Key Project Statistics</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val="clear" w:color="auto" w:fill="1F4E78"/>
          </w:tcPr>
          <w:p>
            <w:r>
              <w:rPr>
                <w:color w:val="FFFFFF"/>
              </w:rPr>
            </w:r>
            <w:r>
              <w:rPr>
                <w:b/>
                <w:color w:val="FFFFFF"/>
                <w:sz w:val="18"/>
              </w:rPr>
              <w:t>Measure</w:t>
            </w:r>
          </w:p>
        </w:tc>
        <w:tc>
          <w:tcPr>
            <w:tcW w:type="dxa" w:w="4608"/>
            <w:vAlign w:val="center"/>
            <w:shd w:val="clear" w:color="auto" w:fill="1F4E78"/>
          </w:tcPr>
          <w:p>
            <w:r>
              <w:rPr>
                <w:color w:val="FFFFFF"/>
              </w:rPr>
            </w:r>
            <w:r>
              <w:rPr>
                <w:b/>
                <w:color w:val="FFFFFF"/>
                <w:sz w:val="18"/>
              </w:rPr>
              <w:t>Value</w:t>
            </w:r>
          </w:p>
        </w:tc>
      </w:tr>
      <w:tr>
        <w:tc>
          <w:tcPr>
            <w:tcW w:type="dxa" w:w="4320"/>
            <w:vAlign w:val="center"/>
          </w:tcPr>
          <w:p>
            <w:r/>
            <w:r>
              <w:rPr>
                <w:b w:val="0"/>
                <w:sz w:val="18"/>
              </w:rPr>
              <w:t>Raw observations</w:t>
            </w:r>
          </w:p>
        </w:tc>
        <w:tc>
          <w:tcPr>
            <w:tcW w:type="dxa" w:w="4608"/>
            <w:vAlign w:val="center"/>
          </w:tcPr>
          <w:p>
            <w:r/>
            <w:r>
              <w:rPr>
                <w:b w:val="0"/>
                <w:sz w:val="18"/>
              </w:rPr>
              <w:t>8,354</w:t>
            </w:r>
          </w:p>
        </w:tc>
      </w:tr>
      <w:tr>
        <w:tc>
          <w:tcPr>
            <w:tcW w:type="dxa" w:w="4320"/>
            <w:vAlign w:val="center"/>
          </w:tcPr>
          <w:p>
            <w:r/>
            <w:r>
              <w:rPr>
                <w:b w:val="0"/>
                <w:sz w:val="18"/>
              </w:rPr>
              <w:t>Original columns</w:t>
            </w:r>
          </w:p>
        </w:tc>
        <w:tc>
          <w:tcPr>
            <w:tcW w:type="dxa" w:w="4608"/>
            <w:vAlign w:val="center"/>
          </w:tcPr>
          <w:p>
            <w:r/>
            <w:r>
              <w:rPr>
                <w:b w:val="0"/>
                <w:sz w:val="18"/>
              </w:rPr>
              <w:t>27</w:t>
            </w:r>
          </w:p>
        </w:tc>
      </w:tr>
      <w:tr>
        <w:tc>
          <w:tcPr>
            <w:tcW w:type="dxa" w:w="4320"/>
            <w:vAlign w:val="center"/>
          </w:tcPr>
          <w:p>
            <w:r/>
            <w:r>
              <w:rPr>
                <w:b w:val="0"/>
                <w:sz w:val="18"/>
              </w:rPr>
              <w:t>Charging stations</w:t>
            </w:r>
          </w:p>
        </w:tc>
        <w:tc>
          <w:tcPr>
            <w:tcW w:type="dxa" w:w="4608"/>
            <w:vAlign w:val="center"/>
          </w:tcPr>
          <w:p>
            <w:r/>
            <w:r>
              <w:rPr>
                <w:b w:val="0"/>
                <w:sz w:val="18"/>
              </w:rPr>
              <w:t>20</w:t>
            </w:r>
          </w:p>
        </w:tc>
      </w:tr>
      <w:tr>
        <w:tc>
          <w:tcPr>
            <w:tcW w:type="dxa" w:w="4320"/>
            <w:vAlign w:val="center"/>
          </w:tcPr>
          <w:p>
            <w:r/>
            <w:r>
              <w:rPr>
                <w:b w:val="0"/>
                <w:sz w:val="18"/>
              </w:rPr>
              <w:t>Unique vehicles</w:t>
            </w:r>
          </w:p>
        </w:tc>
        <w:tc>
          <w:tcPr>
            <w:tcW w:type="dxa" w:w="4608"/>
            <w:vAlign w:val="center"/>
          </w:tcPr>
          <w:p>
            <w:r/>
            <w:r>
              <w:rPr>
                <w:b w:val="0"/>
                <w:sz w:val="18"/>
              </w:rPr>
              <w:t>8,354</w:t>
            </w:r>
          </w:p>
        </w:tc>
      </w:tr>
      <w:tr>
        <w:tc>
          <w:tcPr>
            <w:tcW w:type="dxa" w:w="4320"/>
            <w:vAlign w:val="center"/>
          </w:tcPr>
          <w:p>
            <w:r/>
            <w:r>
              <w:rPr>
                <w:b w:val="0"/>
                <w:sz w:val="18"/>
              </w:rPr>
              <w:t>Station-hour panel</w:t>
            </w:r>
          </w:p>
        </w:tc>
        <w:tc>
          <w:tcPr>
            <w:tcW w:type="dxa" w:w="4608"/>
            <w:vAlign w:val="center"/>
          </w:tcPr>
          <w:p>
            <w:r/>
            <w:r>
              <w:rPr>
                <w:b w:val="0"/>
                <w:sz w:val="18"/>
              </w:rPr>
              <w:t>41,780 rows</w:t>
            </w:r>
          </w:p>
        </w:tc>
      </w:tr>
      <w:tr>
        <w:tc>
          <w:tcPr>
            <w:tcW w:type="dxa" w:w="4320"/>
            <w:vAlign w:val="center"/>
          </w:tcPr>
          <w:p>
            <w:r/>
            <w:r>
              <w:rPr>
                <w:b w:val="0"/>
                <w:sz w:val="18"/>
              </w:rPr>
              <w:t>Usable target rows</w:t>
            </w:r>
          </w:p>
        </w:tc>
        <w:tc>
          <w:tcPr>
            <w:tcW w:type="dxa" w:w="4608"/>
            <w:vAlign w:val="center"/>
          </w:tcPr>
          <w:p>
            <w:r/>
            <w:r>
              <w:rPr>
                <w:b w:val="0"/>
                <w:sz w:val="18"/>
              </w:rPr>
              <w:t>41,760</w:t>
            </w:r>
          </w:p>
        </w:tc>
      </w:tr>
      <w:tr>
        <w:tc>
          <w:tcPr>
            <w:tcW w:type="dxa" w:w="4320"/>
            <w:vAlign w:val="center"/>
          </w:tcPr>
          <w:p>
            <w:r/>
            <w:r>
              <w:rPr>
                <w:b w:val="0"/>
                <w:sz w:val="18"/>
              </w:rPr>
              <w:t>Model features</w:t>
            </w:r>
          </w:p>
        </w:tc>
        <w:tc>
          <w:tcPr>
            <w:tcW w:type="dxa" w:w="4608"/>
            <w:vAlign w:val="center"/>
          </w:tcPr>
          <w:p>
            <w:r/>
            <w:r>
              <w:rPr>
                <w:b w:val="0"/>
                <w:sz w:val="18"/>
              </w:rPr>
              <w:t>16</w:t>
            </w:r>
          </w:p>
        </w:tc>
      </w:tr>
      <w:tr>
        <w:tc>
          <w:tcPr>
            <w:tcW w:type="dxa" w:w="4320"/>
            <w:vAlign w:val="center"/>
          </w:tcPr>
          <w:p>
            <w:r/>
            <w:r>
              <w:rPr>
                <w:b w:val="0"/>
                <w:sz w:val="18"/>
              </w:rPr>
              <w:t>Forecast target</w:t>
            </w:r>
          </w:p>
        </w:tc>
        <w:tc>
          <w:tcPr>
            <w:tcW w:type="dxa" w:w="4608"/>
            <w:vAlign w:val="center"/>
          </w:tcPr>
          <w:p>
            <w:r/>
            <w:r>
              <w:rPr>
                <w:b w:val="0"/>
                <w:sz w:val="18"/>
              </w:rPr>
              <w:t>Next-hour station-level charging demand</w:t>
            </w:r>
          </w:p>
        </w:tc>
      </w:tr>
    </w:tbl>
    <w:p/>
    <w:p>
      <w:pPr>
        <w:jc w:val="center"/>
      </w:pPr>
      <w:r>
        <w:drawing>
          <wp:inline xmlns:a="http://schemas.openxmlformats.org/drawingml/2006/main" xmlns:pic="http://schemas.openxmlformats.org/drawingml/2006/picture">
            <wp:extent cx="6035040" cy="3425978"/>
            <wp:docPr id="1" name="Picture 1"/>
            <wp:cNvGraphicFramePr>
              <a:graphicFrameLocks noChangeAspect="1"/>
            </wp:cNvGraphicFramePr>
            <a:graphic>
              <a:graphicData uri="http://schemas.openxmlformats.org/drawingml/2006/picture">
                <pic:pic>
                  <pic:nvPicPr>
                    <pic:cNvPr id="0" name="image(20260923-181629).png"/>
                    <pic:cNvPicPr/>
                  </pic:nvPicPr>
                  <pic:blipFill>
                    <a:blip r:embed="rId10"/>
                    <a:stretch>
                      <a:fillRect/>
                    </a:stretch>
                  </pic:blipFill>
                  <pic:spPr>
                    <a:xfrm>
                      <a:off x="0" y="0"/>
                      <a:ext cx="6035040" cy="3425978"/>
                    </a:xfrm>
                    <a:prstGeom prst="rect"/>
                  </pic:spPr>
                </pic:pic>
              </a:graphicData>
            </a:graphic>
          </wp:inline>
        </w:drawing>
      </w:r>
    </w:p>
    <w:p>
      <w:pPr>
        <w:jc w:val="center"/>
      </w:pPr>
      <w:r>
        <w:rPr>
          <w:i/>
          <w:color w:val="5A5A5A"/>
          <w:sz w:val="18"/>
        </w:rPr>
        <w:t>Figure 1. Streamlit project overview and dataset breakdown.</w:t>
      </w:r>
    </w:p>
    <w:p>
      <w:pPr>
        <w:pStyle w:val="Heading1"/>
      </w:pPr>
      <w:r>
        <w:t>2. Project Structure</w:t>
      </w:r>
    </w:p>
    <w:p>
      <w:r>
        <w:t>The project is organized into separate data-processing, feature-engineering, modeling, evaluation, forecasting, and interface components. This separation makes the workflow easier to reproduce, test, and maintain.</w:t>
      </w:r>
    </w:p>
    <w:p>
      <w:r>
        <w:rPr>
          <w:rFonts w:ascii="Consolas" w:hAnsi="Consolas"/>
          <w:sz w:val="18"/>
        </w:rPr>
        <w:t>EV_Charging_Streamlit/</w:t>
        <w:br/>
        <w:t>├── app.py</w:t>
        <w:br/>
        <w:t>├── data/</w:t>
        <w:br/>
        <w:t>│   └── EV_Charging_Demand_Dataset_Full.csv</w:t>
        <w:br/>
        <w:t>├── models/</w:t>
        <w:br/>
        <w:t>│   ├── selected_model.joblib</w:t>
        <w:br/>
        <w:t>│   └── model_metadata.joblib</w:t>
        <w:br/>
        <w:t>├── notebooks/</w:t>
        <w:br/>
        <w:t>├── outputs/</w:t>
        <w:br/>
        <w:t>│   ├── figures/</w:t>
        <w:br/>
        <w:t>│   ├── predictions/</w:t>
        <w:br/>
        <w:t>│   └── reports/</w:t>
        <w:br/>
        <w:t>├── src/</w:t>
        <w:br/>
        <w:t>│   ├── data_loader.py</w:t>
        <w:br/>
        <w:t>│   ├── data_preprocessing.py</w:t>
        <w:br/>
        <w:t>│   ├── feature_engineering.py</w:t>
        <w:br/>
        <w:t>│   ├── eda.py</w:t>
        <w:br/>
        <w:t>│   ├── train_test_split.py</w:t>
        <w:br/>
        <w:t>│   ├── model_features.py</w:t>
        <w:br/>
        <w:t>│   ├── models.py</w:t>
        <w:br/>
        <w:t>│   ├── models_station_v2.py</w:t>
        <w:br/>
        <w:t>│   ├── evaluation.py</w:t>
        <w:br/>
        <w:t>│   └── forecasting.py</w:t>
        <w:br/>
        <w:t>├── requirements.txt</w:t>
        <w:br/>
        <w:t>├── README.md</w:t>
        <w:br/>
        <w:t>└── .streamlit/</w:t>
        <w:br/>
        <w:t xml:space="preserve">    └── config.toml</w:t>
        <w:br/>
      </w:r>
    </w:p>
    <w:p>
      <w:pPr>
        <w:pStyle w:val="Heading2"/>
      </w:pPr>
      <w:r>
        <w:t>Major Components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val="clear" w:color="auto" w:fill="1F4E78"/>
          </w:tcPr>
          <w:p>
            <w:r>
              <w:rPr>
                <w:color w:val="FFFFFF"/>
              </w:rPr>
            </w:r>
            <w:r>
              <w:rPr>
                <w:b/>
                <w:color w:val="FFFFFF"/>
                <w:sz w:val="18"/>
              </w:rPr>
              <w:t>Component</w:t>
            </w:r>
          </w:p>
        </w:tc>
        <w:tc>
          <w:tcPr>
            <w:tcW w:type="dxa" w:w="6048"/>
            <w:vAlign w:val="center"/>
            <w:shd w:val="clear" w:color="auto" w:fill="1F4E78"/>
          </w:tcPr>
          <w:p>
            <w:r>
              <w:rPr>
                <w:color w:val="FFFFFF"/>
              </w:rPr>
            </w:r>
            <w:r>
              <w:rPr>
                <w:b/>
                <w:color w:val="FFFFFF"/>
                <w:sz w:val="18"/>
              </w:rPr>
              <w:t>Purpose</w:t>
            </w:r>
          </w:p>
        </w:tc>
      </w:tr>
      <w:tr>
        <w:tc>
          <w:tcPr>
            <w:tcW w:type="dxa" w:w="2880"/>
            <w:vAlign w:val="center"/>
          </w:tcPr>
          <w:p>
            <w:r/>
            <w:r>
              <w:rPr>
                <w:b w:val="0"/>
                <w:sz w:val="18"/>
              </w:rPr>
              <w:t>data_loader.py</w:t>
            </w:r>
          </w:p>
        </w:tc>
        <w:tc>
          <w:tcPr>
            <w:tcW w:type="dxa" w:w="6048"/>
            <w:vAlign w:val="center"/>
          </w:tcPr>
          <w:p>
            <w:r/>
            <w:r>
              <w:rPr>
                <w:b w:val="0"/>
                <w:sz w:val="18"/>
              </w:rPr>
              <w:t>Loads the dataset and performs basic validation.</w:t>
            </w:r>
          </w:p>
        </w:tc>
      </w:tr>
      <w:tr>
        <w:tc>
          <w:tcPr>
            <w:tcW w:type="dxa" w:w="2880"/>
            <w:vAlign w:val="center"/>
          </w:tcPr>
          <w:p>
            <w:r/>
            <w:r>
              <w:rPr>
                <w:b w:val="0"/>
                <w:sz w:val="18"/>
              </w:rPr>
              <w:t>data_preprocessing.py</w:t>
            </w:r>
          </w:p>
        </w:tc>
        <w:tc>
          <w:tcPr>
            <w:tcW w:type="dxa" w:w="6048"/>
            <w:vAlign w:val="center"/>
          </w:tcPr>
          <w:p>
            <w:r/>
            <w:r>
              <w:rPr>
                <w:b w:val="0"/>
                <w:sz w:val="18"/>
              </w:rPr>
              <w:t>Parses datetime fields, sorts observations, and validates preprocessing.</w:t>
            </w:r>
          </w:p>
        </w:tc>
      </w:tr>
      <w:tr>
        <w:tc>
          <w:tcPr>
            <w:tcW w:type="dxa" w:w="2880"/>
            <w:vAlign w:val="center"/>
          </w:tcPr>
          <w:p>
            <w:r/>
            <w:r>
              <w:rPr>
                <w:b w:val="0"/>
                <w:sz w:val="18"/>
              </w:rPr>
              <w:t>feature_engineering.py</w:t>
            </w:r>
          </w:p>
        </w:tc>
        <w:tc>
          <w:tcPr>
            <w:tcW w:type="dxa" w:w="6048"/>
            <w:vAlign w:val="center"/>
          </w:tcPr>
          <w:p>
            <w:r/>
            <w:r>
              <w:rPr>
                <w:b w:val="0"/>
                <w:sz w:val="18"/>
              </w:rPr>
              <w:t>Builds the complete station-hour panel and historical features.</w:t>
            </w:r>
          </w:p>
        </w:tc>
      </w:tr>
      <w:tr>
        <w:tc>
          <w:tcPr>
            <w:tcW w:type="dxa" w:w="2880"/>
            <w:vAlign w:val="center"/>
          </w:tcPr>
          <w:p>
            <w:r/>
            <w:r>
              <w:rPr>
                <w:b w:val="0"/>
                <w:sz w:val="18"/>
              </w:rPr>
              <w:t>train_test_split.py</w:t>
            </w:r>
          </w:p>
        </w:tc>
        <w:tc>
          <w:tcPr>
            <w:tcW w:type="dxa" w:w="6048"/>
            <w:vAlign w:val="center"/>
          </w:tcPr>
          <w:p>
            <w:r/>
            <w:r>
              <w:rPr>
                <w:b w:val="0"/>
                <w:sz w:val="18"/>
              </w:rPr>
              <w:t>Creates the chronological train, validation, and test sets.</w:t>
            </w:r>
          </w:p>
        </w:tc>
      </w:tr>
      <w:tr>
        <w:tc>
          <w:tcPr>
            <w:tcW w:type="dxa" w:w="2880"/>
            <w:vAlign w:val="center"/>
          </w:tcPr>
          <w:p>
            <w:r/>
            <w:r>
              <w:rPr>
                <w:b w:val="0"/>
                <w:sz w:val="18"/>
              </w:rPr>
              <w:t>model_features.py</w:t>
            </w:r>
          </w:p>
        </w:tc>
        <w:tc>
          <w:tcPr>
            <w:tcW w:type="dxa" w:w="6048"/>
            <w:vAlign w:val="center"/>
          </w:tcPr>
          <w:p>
            <w:r/>
            <w:r>
              <w:rPr>
                <w:b w:val="0"/>
                <w:sz w:val="18"/>
              </w:rPr>
              <w:t>Defines the canonical 16-feature modeling configuration.</w:t>
            </w:r>
          </w:p>
        </w:tc>
      </w:tr>
      <w:tr>
        <w:tc>
          <w:tcPr>
            <w:tcW w:type="dxa" w:w="2880"/>
            <w:vAlign w:val="center"/>
          </w:tcPr>
          <w:p>
            <w:r/>
            <w:r>
              <w:rPr>
                <w:b w:val="0"/>
                <w:sz w:val="18"/>
              </w:rPr>
              <w:t>models.py</w:t>
            </w:r>
          </w:p>
        </w:tc>
        <w:tc>
          <w:tcPr>
            <w:tcW w:type="dxa" w:w="6048"/>
            <w:vAlign w:val="center"/>
          </w:tcPr>
          <w:p>
            <w:r/>
            <w:r>
              <w:rPr>
                <w:b w:val="0"/>
                <w:sz w:val="18"/>
              </w:rPr>
              <w:t>Trains baselines and regression models and evaluates them.</w:t>
            </w:r>
          </w:p>
        </w:tc>
      </w:tr>
      <w:tr>
        <w:tc>
          <w:tcPr>
            <w:tcW w:type="dxa" w:w="2880"/>
            <w:vAlign w:val="center"/>
          </w:tcPr>
          <w:p>
            <w:r/>
            <w:r>
              <w:rPr>
                <w:b w:val="0"/>
                <w:sz w:val="18"/>
              </w:rPr>
              <w:t>evaluation.py</w:t>
            </w:r>
          </w:p>
        </w:tc>
        <w:tc>
          <w:tcPr>
            <w:tcW w:type="dxa" w:w="6048"/>
            <w:vAlign w:val="center"/>
          </w:tcPr>
          <w:p>
            <w:r/>
            <w:r>
              <w:rPr>
                <w:b w:val="0"/>
                <w:sz w:val="18"/>
              </w:rPr>
              <w:t>Generates model-performance figures and station-level error analysis.</w:t>
            </w:r>
          </w:p>
        </w:tc>
      </w:tr>
      <w:tr>
        <w:tc>
          <w:tcPr>
            <w:tcW w:type="dxa" w:w="2880"/>
            <w:vAlign w:val="center"/>
          </w:tcPr>
          <w:p>
            <w:r/>
            <w:r>
              <w:rPr>
                <w:b w:val="0"/>
                <w:sz w:val="18"/>
              </w:rPr>
              <w:t>forecasting.py</w:t>
            </w:r>
          </w:p>
        </w:tc>
        <w:tc>
          <w:tcPr>
            <w:tcW w:type="dxa" w:w="6048"/>
            <w:vAlign w:val="center"/>
          </w:tcPr>
          <w:p>
            <w:r/>
            <w:r>
              <w:rPr>
                <w:b w:val="0"/>
                <w:sz w:val="18"/>
              </w:rPr>
              <w:t>Generates the next-hour station-level forecast.</w:t>
            </w:r>
          </w:p>
        </w:tc>
      </w:tr>
      <w:tr>
        <w:tc>
          <w:tcPr>
            <w:tcW w:type="dxa" w:w="2880"/>
            <w:vAlign w:val="center"/>
          </w:tcPr>
          <w:p>
            <w:r/>
            <w:r>
              <w:rPr>
                <w:b w:val="0"/>
                <w:sz w:val="18"/>
              </w:rPr>
              <w:t>app.py</w:t>
            </w:r>
          </w:p>
        </w:tc>
        <w:tc>
          <w:tcPr>
            <w:tcW w:type="dxa" w:w="6048"/>
            <w:vAlign w:val="center"/>
          </w:tcPr>
          <w:p>
            <w:r/>
            <w:r>
              <w:rPr>
                <w:b w:val="0"/>
                <w:sz w:val="18"/>
              </w:rPr>
              <w:t>Provides the interactive Streamlit dashboard.</w:t>
            </w:r>
          </w:p>
        </w:tc>
      </w:tr>
    </w:tbl>
    <w:p/>
    <w:p>
      <w:pPr>
        <w:pStyle w:val="Heading1"/>
      </w:pPr>
      <w:r>
        <w:t>3. Dataset</w:t>
      </w:r>
    </w:p>
    <w:p>
      <w:r>
        <w:t>The project uses the Electric Vehicle Charging Demand Dataset by Ziya, available on Kaggle. The dataset contains EV charging activity from urban and highway environments and includes station, vehicle, timing, charging, queue, energy, electricity-price, traffic, weather, and operational fields.</w:t>
      </w:r>
    </w:p>
    <w:p>
      <w:r>
        <w:t>Dataset source: https://www.kaggle.com/datasets/ziya07/electric-vehicle-charging-demand-dataset</w:t>
      </w:r>
    </w:p>
    <w:p>
      <w:pPr>
        <w:pStyle w:val="Heading2"/>
      </w:pPr>
      <w:r>
        <w:t>Dataset Characteristics</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val="clear" w:color="auto" w:fill="1F4E78"/>
          </w:tcPr>
          <w:p>
            <w:r>
              <w:rPr>
                <w:color w:val="FFFFFF"/>
              </w:rPr>
            </w:r>
            <w:r>
              <w:rPr>
                <w:b/>
                <w:color w:val="FFFFFF"/>
                <w:sz w:val="18"/>
              </w:rPr>
              <w:t>Characteristic</w:t>
            </w:r>
          </w:p>
        </w:tc>
        <w:tc>
          <w:tcPr>
            <w:tcW w:type="dxa" w:w="4608"/>
            <w:vAlign w:val="center"/>
            <w:shd w:val="clear" w:color="auto" w:fill="1F4E78"/>
          </w:tcPr>
          <w:p>
            <w:r>
              <w:rPr>
                <w:color w:val="FFFFFF"/>
              </w:rPr>
            </w:r>
            <w:r>
              <w:rPr>
                <w:b/>
                <w:color w:val="FFFFFF"/>
                <w:sz w:val="18"/>
              </w:rPr>
              <w:t>Value</w:t>
            </w:r>
          </w:p>
        </w:tc>
      </w:tr>
      <w:tr>
        <w:tc>
          <w:tcPr>
            <w:tcW w:type="dxa" w:w="4320"/>
            <w:vAlign w:val="center"/>
          </w:tcPr>
          <w:p>
            <w:r/>
            <w:r>
              <w:rPr>
                <w:b w:val="0"/>
                <w:sz w:val="18"/>
              </w:rPr>
              <w:t>Rows</w:t>
            </w:r>
          </w:p>
        </w:tc>
        <w:tc>
          <w:tcPr>
            <w:tcW w:type="dxa" w:w="4608"/>
            <w:vAlign w:val="center"/>
          </w:tcPr>
          <w:p>
            <w:r/>
            <w:r>
              <w:rPr>
                <w:b w:val="0"/>
                <w:sz w:val="18"/>
              </w:rPr>
              <w:t>8,354</w:t>
            </w:r>
          </w:p>
        </w:tc>
      </w:tr>
      <w:tr>
        <w:tc>
          <w:tcPr>
            <w:tcW w:type="dxa" w:w="4320"/>
            <w:vAlign w:val="center"/>
          </w:tcPr>
          <w:p>
            <w:r/>
            <w:r>
              <w:rPr>
                <w:b w:val="0"/>
                <w:sz w:val="18"/>
              </w:rPr>
              <w:t>Columns</w:t>
            </w:r>
          </w:p>
        </w:tc>
        <w:tc>
          <w:tcPr>
            <w:tcW w:type="dxa" w:w="4608"/>
            <w:vAlign w:val="center"/>
          </w:tcPr>
          <w:p>
            <w:r/>
            <w:r>
              <w:rPr>
                <w:b w:val="0"/>
                <w:sz w:val="18"/>
              </w:rPr>
              <w:t>27</w:t>
            </w:r>
          </w:p>
        </w:tc>
      </w:tr>
      <w:tr>
        <w:tc>
          <w:tcPr>
            <w:tcW w:type="dxa" w:w="4320"/>
            <w:vAlign w:val="center"/>
          </w:tcPr>
          <w:p>
            <w:r/>
            <w:r>
              <w:rPr>
                <w:b w:val="0"/>
                <w:sz w:val="18"/>
              </w:rPr>
              <w:t>Stations</w:t>
            </w:r>
          </w:p>
        </w:tc>
        <w:tc>
          <w:tcPr>
            <w:tcW w:type="dxa" w:w="4608"/>
            <w:vAlign w:val="center"/>
          </w:tcPr>
          <w:p>
            <w:r/>
            <w:r>
              <w:rPr>
                <w:b w:val="0"/>
                <w:sz w:val="18"/>
              </w:rPr>
              <w:t>20</w:t>
            </w:r>
          </w:p>
        </w:tc>
      </w:tr>
      <w:tr>
        <w:tc>
          <w:tcPr>
            <w:tcW w:type="dxa" w:w="4320"/>
            <w:vAlign w:val="center"/>
          </w:tcPr>
          <w:p>
            <w:r/>
            <w:r>
              <w:rPr>
                <w:b w:val="0"/>
                <w:sz w:val="18"/>
              </w:rPr>
              <w:t>Vehicles</w:t>
            </w:r>
          </w:p>
        </w:tc>
        <w:tc>
          <w:tcPr>
            <w:tcW w:type="dxa" w:w="4608"/>
            <w:vAlign w:val="center"/>
          </w:tcPr>
          <w:p>
            <w:r/>
            <w:r>
              <w:rPr>
                <w:b w:val="0"/>
                <w:sz w:val="18"/>
              </w:rPr>
              <w:t>8,354 unique vehicle IDs</w:t>
            </w:r>
          </w:p>
        </w:tc>
      </w:tr>
      <w:tr>
        <w:tc>
          <w:tcPr>
            <w:tcW w:type="dxa" w:w="4320"/>
            <w:vAlign w:val="center"/>
          </w:tcPr>
          <w:p>
            <w:r/>
            <w:r>
              <w:rPr>
                <w:b w:val="0"/>
                <w:sz w:val="18"/>
              </w:rPr>
              <w:t>Location types</w:t>
            </w:r>
          </w:p>
        </w:tc>
        <w:tc>
          <w:tcPr>
            <w:tcW w:type="dxa" w:w="4608"/>
            <w:vAlign w:val="center"/>
          </w:tcPr>
          <w:p>
            <w:r/>
            <w:r>
              <w:rPr>
                <w:b w:val="0"/>
                <w:sz w:val="18"/>
              </w:rPr>
              <w:t>Urban, Highway</w:t>
            </w:r>
          </w:p>
        </w:tc>
      </w:tr>
      <w:tr>
        <w:tc>
          <w:tcPr>
            <w:tcW w:type="dxa" w:w="4320"/>
            <w:vAlign w:val="center"/>
          </w:tcPr>
          <w:p>
            <w:r/>
            <w:r>
              <w:rPr>
                <w:b w:val="0"/>
                <w:sz w:val="18"/>
              </w:rPr>
              <w:t>Vehicle types</w:t>
            </w:r>
          </w:p>
        </w:tc>
        <w:tc>
          <w:tcPr>
            <w:tcW w:type="dxa" w:w="4608"/>
            <w:vAlign w:val="center"/>
          </w:tcPr>
          <w:p>
            <w:r/>
            <w:r>
              <w:rPr>
                <w:b w:val="0"/>
                <w:sz w:val="18"/>
              </w:rPr>
              <w:t>Car, Bus, Two-Wheeler</w:t>
            </w:r>
          </w:p>
        </w:tc>
      </w:tr>
      <w:tr>
        <w:tc>
          <w:tcPr>
            <w:tcW w:type="dxa" w:w="4320"/>
            <w:vAlign w:val="center"/>
          </w:tcPr>
          <w:p>
            <w:r/>
            <w:r>
              <w:rPr>
                <w:b w:val="0"/>
                <w:sz w:val="18"/>
              </w:rPr>
              <w:t>Timestamp range</w:t>
            </w:r>
          </w:p>
        </w:tc>
        <w:tc>
          <w:tcPr>
            <w:tcW w:type="dxa" w:w="4608"/>
            <w:vAlign w:val="center"/>
          </w:tcPr>
          <w:p>
            <w:r/>
            <w:r>
              <w:rPr>
                <w:b w:val="0"/>
                <w:sz w:val="18"/>
              </w:rPr>
              <w:t>2025-01-01 00:00:00 to 2025-03-29 00:15:00</w:t>
            </w:r>
          </w:p>
        </w:tc>
      </w:tr>
      <w:tr>
        <w:tc>
          <w:tcPr>
            <w:tcW w:type="dxa" w:w="4320"/>
            <w:vAlign w:val="center"/>
          </w:tcPr>
          <w:p>
            <w:r/>
            <w:r>
              <w:rPr>
                <w:b w:val="0"/>
                <w:sz w:val="18"/>
              </w:rPr>
              <w:t>Missing values</w:t>
            </w:r>
          </w:p>
        </w:tc>
        <w:tc>
          <w:tcPr>
            <w:tcW w:type="dxa" w:w="4608"/>
            <w:vAlign w:val="center"/>
          </w:tcPr>
          <w:p>
            <w:r/>
            <w:r>
              <w:rPr>
                <w:b w:val="0"/>
                <w:sz w:val="18"/>
              </w:rPr>
              <w:t>0</w:t>
            </w:r>
          </w:p>
        </w:tc>
      </w:tr>
      <w:tr>
        <w:tc>
          <w:tcPr>
            <w:tcW w:type="dxa" w:w="4320"/>
            <w:vAlign w:val="center"/>
          </w:tcPr>
          <w:p>
            <w:r/>
            <w:r>
              <w:rPr>
                <w:b w:val="0"/>
                <w:sz w:val="18"/>
              </w:rPr>
              <w:t>Duplicate rows</w:t>
            </w:r>
          </w:p>
        </w:tc>
        <w:tc>
          <w:tcPr>
            <w:tcW w:type="dxa" w:w="4608"/>
            <w:vAlign w:val="center"/>
          </w:tcPr>
          <w:p>
            <w:r/>
            <w:r>
              <w:rPr>
                <w:b w:val="0"/>
                <w:sz w:val="18"/>
              </w:rPr>
              <w:t>0</w:t>
            </w:r>
          </w:p>
        </w:tc>
      </w:tr>
    </w:tbl>
    <w:p/>
    <w:p>
      <w:pPr>
        <w:pStyle w:val="Heading2"/>
      </w:pPr>
      <w:r>
        <w:t>Important Variables</w:t>
      </w:r>
    </w:p>
    <w:tbl>
      <w:tblPr>
        <w:tblStyle w:val="TableGrid"/>
        <w:tblW w:type="auto" w:w="0"/>
        <w:jc w:val="center"/>
        <w:tblLook w:firstColumn="1" w:firstRow="1" w:lastColumn="0" w:lastRow="0" w:noHBand="0" w:noVBand="1" w:val="04A0"/>
      </w:tblPr>
      <w:tblGrid>
        <w:gridCol w:w="4968"/>
        <w:gridCol w:w="4968"/>
      </w:tblGrid>
      <w:tr>
        <w:tc>
          <w:tcPr>
            <w:tcW w:type="dxa" w:w="2880"/>
            <w:vAlign w:val="center"/>
            <w:shd w:val="clear" w:color="auto" w:fill="1F4E78"/>
          </w:tcPr>
          <w:p>
            <w:r>
              <w:rPr>
                <w:color w:val="FFFFFF"/>
              </w:rPr>
            </w:r>
            <w:r>
              <w:rPr>
                <w:b/>
                <w:color w:val="FFFFFF"/>
                <w:sz w:val="18"/>
              </w:rPr>
              <w:t>Variable Group</w:t>
            </w:r>
          </w:p>
        </w:tc>
        <w:tc>
          <w:tcPr>
            <w:tcW w:type="dxa" w:w="6048"/>
            <w:vAlign w:val="center"/>
            <w:shd w:val="clear" w:color="auto" w:fill="1F4E78"/>
          </w:tcPr>
          <w:p>
            <w:r>
              <w:rPr>
                <w:color w:val="FFFFFF"/>
              </w:rPr>
            </w:r>
            <w:r>
              <w:rPr>
                <w:b/>
                <w:color w:val="FFFFFF"/>
                <w:sz w:val="18"/>
              </w:rPr>
              <w:t>Examples</w:t>
            </w:r>
          </w:p>
        </w:tc>
      </w:tr>
      <w:tr>
        <w:tc>
          <w:tcPr>
            <w:tcW w:type="dxa" w:w="2880"/>
            <w:vAlign w:val="center"/>
          </w:tcPr>
          <w:p>
            <w:r/>
            <w:r>
              <w:rPr>
                <w:b w:val="0"/>
                <w:sz w:val="18"/>
              </w:rPr>
              <w:t>Identifiers</w:t>
            </w:r>
          </w:p>
        </w:tc>
        <w:tc>
          <w:tcPr>
            <w:tcW w:type="dxa" w:w="6048"/>
            <w:vAlign w:val="center"/>
          </w:tcPr>
          <w:p>
            <w:r/>
            <w:r>
              <w:rPr>
                <w:b w:val="0"/>
                <w:sz w:val="18"/>
              </w:rPr>
              <w:t>station_id, vehicle_id, assigned_charger_id</w:t>
            </w:r>
          </w:p>
        </w:tc>
      </w:tr>
      <w:tr>
        <w:tc>
          <w:tcPr>
            <w:tcW w:type="dxa" w:w="2880"/>
            <w:vAlign w:val="center"/>
          </w:tcPr>
          <w:p>
            <w:r/>
            <w:r>
              <w:rPr>
                <w:b w:val="0"/>
                <w:sz w:val="18"/>
              </w:rPr>
              <w:t>Time</w:t>
            </w:r>
          </w:p>
        </w:tc>
        <w:tc>
          <w:tcPr>
            <w:tcW w:type="dxa" w:w="6048"/>
            <w:vAlign w:val="center"/>
          </w:tcPr>
          <w:p>
            <w:r/>
            <w:r>
              <w:rPr>
                <w:b w:val="0"/>
                <w:sz w:val="18"/>
              </w:rPr>
              <w:t>timestamp, arrival_time, charging_start_time, charging_end_time</w:t>
            </w:r>
          </w:p>
        </w:tc>
      </w:tr>
      <w:tr>
        <w:tc>
          <w:tcPr>
            <w:tcW w:type="dxa" w:w="2880"/>
            <w:vAlign w:val="center"/>
          </w:tcPr>
          <w:p>
            <w:r/>
            <w:r>
              <w:rPr>
                <w:b w:val="0"/>
                <w:sz w:val="18"/>
              </w:rPr>
              <w:t>Vehicle</w:t>
            </w:r>
          </w:p>
        </w:tc>
        <w:tc>
          <w:tcPr>
            <w:tcW w:type="dxa" w:w="6048"/>
            <w:vAlign w:val="center"/>
          </w:tcPr>
          <w:p>
            <w:r/>
            <w:r>
              <w:rPr>
                <w:b w:val="0"/>
                <w:sz w:val="18"/>
              </w:rPr>
              <w:t>vehicle_type, battery_capacity_kWh, initial_soc, final_soc</w:t>
            </w:r>
          </w:p>
        </w:tc>
      </w:tr>
      <w:tr>
        <w:tc>
          <w:tcPr>
            <w:tcW w:type="dxa" w:w="2880"/>
            <w:vAlign w:val="center"/>
          </w:tcPr>
          <w:p>
            <w:r/>
            <w:r>
              <w:rPr>
                <w:b w:val="0"/>
                <w:sz w:val="18"/>
              </w:rPr>
              <w:t>Charging</w:t>
            </w:r>
          </w:p>
        </w:tc>
        <w:tc>
          <w:tcPr>
            <w:tcW w:type="dxa" w:w="6048"/>
            <w:vAlign w:val="center"/>
          </w:tcPr>
          <w:p>
            <w:r/>
            <w:r>
              <w:rPr>
                <w:b w:val="0"/>
                <w:sz w:val="18"/>
              </w:rPr>
              <w:t>energy_consumed_kWh, charging_power_kW, charging_duration</w:t>
            </w:r>
          </w:p>
        </w:tc>
      </w:tr>
      <w:tr>
        <w:tc>
          <w:tcPr>
            <w:tcW w:type="dxa" w:w="2880"/>
            <w:vAlign w:val="center"/>
          </w:tcPr>
          <w:p>
            <w:r/>
            <w:r>
              <w:rPr>
                <w:b w:val="0"/>
                <w:sz w:val="18"/>
              </w:rPr>
              <w:t>Station conditions</w:t>
            </w:r>
          </w:p>
        </w:tc>
        <w:tc>
          <w:tcPr>
            <w:tcW w:type="dxa" w:w="6048"/>
            <w:vAlign w:val="center"/>
          </w:tcPr>
          <w:p>
            <w:r/>
            <w:r>
              <w:rPr>
                <w:b w:val="0"/>
                <w:sz w:val="18"/>
              </w:rPr>
              <w:t>queue_length, station_load, electricity_price</w:t>
            </w:r>
          </w:p>
        </w:tc>
      </w:tr>
      <w:tr>
        <w:tc>
          <w:tcPr>
            <w:tcW w:type="dxa" w:w="2880"/>
            <w:vAlign w:val="center"/>
          </w:tcPr>
          <w:p>
            <w:r/>
            <w:r>
              <w:rPr>
                <w:b w:val="0"/>
                <w:sz w:val="18"/>
              </w:rPr>
              <w:t>Environment</w:t>
            </w:r>
          </w:p>
        </w:tc>
        <w:tc>
          <w:tcPr>
            <w:tcW w:type="dxa" w:w="6048"/>
            <w:vAlign w:val="center"/>
          </w:tcPr>
          <w:p>
            <w:r/>
            <w:r>
              <w:rPr>
                <w:b w:val="0"/>
                <w:sz w:val="18"/>
              </w:rPr>
              <w:t>renewable_energy_ratio, traffic_density, weather_condition</w:t>
            </w:r>
          </w:p>
        </w:tc>
      </w:tr>
      <w:tr>
        <w:tc>
          <w:tcPr>
            <w:tcW w:type="dxa" w:w="2880"/>
            <w:vAlign w:val="center"/>
          </w:tcPr>
          <w:p>
            <w:r/>
            <w:r>
              <w:rPr>
                <w:b w:val="0"/>
                <w:sz w:val="18"/>
              </w:rPr>
              <w:t>Target-related</w:t>
            </w:r>
          </w:p>
        </w:tc>
        <w:tc>
          <w:tcPr>
            <w:tcW w:type="dxa" w:w="6048"/>
            <w:vAlign w:val="center"/>
          </w:tcPr>
          <w:p>
            <w:r/>
            <w:r>
              <w:rPr>
                <w:b w:val="0"/>
                <w:sz w:val="18"/>
              </w:rPr>
              <w:t>charging_demand</w:t>
            </w:r>
          </w:p>
        </w:tc>
      </w:tr>
    </w:tbl>
    <w:p/>
    <w:p>
      <w:pPr>
        <w:pStyle w:val="Heading2"/>
      </w:pPr>
      <w:r>
        <w:t>Dataset Analysis in the Dashboard</w:t>
      </w:r>
    </w:p>
    <w:p>
      <w:pPr>
        <w:jc w:val="center"/>
      </w:pPr>
      <w:r>
        <w:drawing>
          <wp:inline xmlns:a="http://schemas.openxmlformats.org/drawingml/2006/main" xmlns:pic="http://schemas.openxmlformats.org/drawingml/2006/picture">
            <wp:extent cx="6035040" cy="3376711"/>
            <wp:docPr id="2" name="Picture 2"/>
            <wp:cNvGraphicFramePr>
              <a:graphicFrameLocks noChangeAspect="1"/>
            </wp:cNvGraphicFramePr>
            <a:graphic>
              <a:graphicData uri="http://schemas.openxmlformats.org/drawingml/2006/picture">
                <pic:pic>
                  <pic:nvPicPr>
                    <pic:cNvPr id="0" name="image(20260923-181642).png"/>
                    <pic:cNvPicPr/>
                  </pic:nvPicPr>
                  <pic:blipFill>
                    <a:blip r:embed="rId11"/>
                    <a:stretch>
                      <a:fillRect/>
                    </a:stretch>
                  </pic:blipFill>
                  <pic:spPr>
                    <a:xfrm>
                      <a:off x="0" y="0"/>
                      <a:ext cx="6035040" cy="3376711"/>
                    </a:xfrm>
                    <a:prstGeom prst="rect"/>
                  </pic:spPr>
                </pic:pic>
              </a:graphicData>
            </a:graphic>
          </wp:inline>
        </w:drawing>
      </w:r>
    </w:p>
    <w:p>
      <w:pPr>
        <w:jc w:val="center"/>
      </w:pPr>
      <w:r>
        <w:rPr>
          <w:i/>
          <w:color w:val="5A5A5A"/>
          <w:sz w:val="18"/>
        </w:rPr>
        <w:t>Figure 2. Station-wise average charging demand and station summary.</w:t>
      </w:r>
    </w:p>
    <w:p>
      <w:pPr>
        <w:jc w:val="center"/>
      </w:pPr>
      <w:r>
        <w:drawing>
          <wp:inline xmlns:a="http://schemas.openxmlformats.org/drawingml/2006/main" xmlns:pic="http://schemas.openxmlformats.org/drawingml/2006/picture">
            <wp:extent cx="6035040" cy="3413028"/>
            <wp:docPr id="3" name="Picture 3"/>
            <wp:cNvGraphicFramePr>
              <a:graphicFrameLocks noChangeAspect="1"/>
            </wp:cNvGraphicFramePr>
            <a:graphic>
              <a:graphicData uri="http://schemas.openxmlformats.org/drawingml/2006/picture">
                <pic:pic>
                  <pic:nvPicPr>
                    <pic:cNvPr id="0" name="image(20260923-181644).png"/>
                    <pic:cNvPicPr/>
                  </pic:nvPicPr>
                  <pic:blipFill>
                    <a:blip r:embed="rId12"/>
                    <a:stretch>
                      <a:fillRect/>
                    </a:stretch>
                  </pic:blipFill>
                  <pic:spPr>
                    <a:xfrm>
                      <a:off x="0" y="0"/>
                      <a:ext cx="6035040" cy="3413028"/>
                    </a:xfrm>
                    <a:prstGeom prst="rect"/>
                  </pic:spPr>
                </pic:pic>
              </a:graphicData>
            </a:graphic>
          </wp:inline>
        </w:drawing>
      </w:r>
    </w:p>
    <w:p>
      <w:pPr>
        <w:jc w:val="center"/>
      </w:pPr>
      <w:r>
        <w:rPr>
          <w:i/>
          <w:color w:val="5A5A5A"/>
          <w:sz w:val="18"/>
        </w:rPr>
        <w:t>Figure 3. Location-wise average charging demand for Highway and Urban stations.</w:t>
      </w:r>
    </w:p>
    <w:p>
      <w:pPr>
        <w:jc w:val="center"/>
      </w:pPr>
      <w:r>
        <w:drawing>
          <wp:inline xmlns:a="http://schemas.openxmlformats.org/drawingml/2006/main" xmlns:pic="http://schemas.openxmlformats.org/drawingml/2006/picture">
            <wp:extent cx="6035040" cy="3402028"/>
            <wp:docPr id="4" name="Picture 4"/>
            <wp:cNvGraphicFramePr>
              <a:graphicFrameLocks noChangeAspect="1"/>
            </wp:cNvGraphicFramePr>
            <a:graphic>
              <a:graphicData uri="http://schemas.openxmlformats.org/drawingml/2006/picture">
                <pic:pic>
                  <pic:nvPicPr>
                    <pic:cNvPr id="0" name="image(20260923-181637).png"/>
                    <pic:cNvPicPr/>
                  </pic:nvPicPr>
                  <pic:blipFill>
                    <a:blip r:embed="rId13"/>
                    <a:stretch>
                      <a:fillRect/>
                    </a:stretch>
                  </pic:blipFill>
                  <pic:spPr>
                    <a:xfrm>
                      <a:off x="0" y="0"/>
                      <a:ext cx="6035040" cy="3402028"/>
                    </a:xfrm>
                    <a:prstGeom prst="rect"/>
                  </pic:spPr>
                </pic:pic>
              </a:graphicData>
            </a:graphic>
          </wp:inline>
        </w:drawing>
      </w:r>
    </w:p>
    <w:p>
      <w:pPr>
        <w:jc w:val="center"/>
      </w:pPr>
      <w:r>
        <w:rPr>
          <w:i/>
          <w:color w:val="5A5A5A"/>
          <w:sz w:val="18"/>
        </w:rPr>
        <w:t>Figure 4. Vehicle-type average charging demand and vehicle summary.</w:t>
      </w:r>
    </w:p>
    <w:p>
      <w:pPr>
        <w:pStyle w:val="Heading1"/>
      </w:pPr>
      <w:r>
        <w:t>4. Machine Learning Models</w:t>
      </w:r>
    </w:p>
    <w:p>
      <w:r>
        <w:t>The forecasting problem is formulated as a supervised regression task. The target is `next_hour_demand`, defined as the next hourly charging demand for each station. The modeling pipeline uses a complete station × hour panel and historical information only.</w:t>
      </w:r>
    </w:p>
    <w:p>
      <w:pPr>
        <w:pStyle w:val="Heading2"/>
      </w:pPr>
      <w:r>
        <w:t>Feature Engineering</w:t>
      </w:r>
    </w:p>
    <w:p>
      <w:pPr>
        <w:pStyle w:val="ListBullet"/>
        <w:spacing w:after="40"/>
      </w:pPr>
      <w:r>
        <w:t>Calendar features: hour of day, day of week, day of month, month, and weekend indicator.</w:t>
      </w:r>
    </w:p>
    <w:p>
      <w:pPr>
        <w:pStyle w:val="ListBullet"/>
        <w:spacing w:after="40"/>
      </w:pPr>
      <w:r>
        <w:t>Demand lags: 1-hour, 2-hour, 3-hour, and 24-hour historical demand.</w:t>
      </w:r>
    </w:p>
    <w:p>
      <w:pPr>
        <w:pStyle w:val="ListBullet"/>
        <w:spacing w:after="40"/>
      </w:pPr>
      <w:r>
        <w:t>Station-load lags: 1-hour and 24-hour historical station load.</w:t>
      </w:r>
    </w:p>
    <w:p>
      <w:pPr>
        <w:pStyle w:val="ListBullet"/>
        <w:spacing w:after="40"/>
      </w:pPr>
      <w:r>
        <w:t>Queue lags: 1-hour and 24-hour historical queue length.</w:t>
      </w:r>
    </w:p>
    <w:p>
      <w:pPr>
        <w:pStyle w:val="ListBullet"/>
        <w:spacing w:after="40"/>
      </w:pPr>
      <w:r>
        <w:t>Historical rolling means: 3-hour, 6-hour, and 24-hour windows computed after shifting demand by one hour.</w:t>
      </w:r>
    </w:p>
    <w:p>
      <w:pPr>
        <w:pStyle w:val="Heading2"/>
      </w:pPr>
      <w:r>
        <w:t>Leakage Prevention</w:t>
      </w:r>
    </w:p>
    <w:p>
      <w:r>
        <w:t>Contemporaneous `charging_demand`, `station_load`, `queue_length`, `energy_consumed_kWh`, and `waiting_time` are excluded from the predictive feature set. Historical lagged versions are permitted because they represent information available before the forecast period.</w:t>
      </w:r>
    </w:p>
    <w:p>
      <w:pPr>
        <w:pStyle w:val="Heading2"/>
      </w:pPr>
      <w:r>
        <w:t>Train / Validation / Test Strategy</w:t>
      </w:r>
    </w:p>
    <w:p>
      <w:r>
        <w:t>A chronological global time split is used so that all stations belonging to the same target hour remain in the same split. The project uses approximately 70% of target hours for training, 15% for validation, and 15% for testing. No random shuffling is used.</w:t>
      </w:r>
    </w:p>
    <w:p>
      <w:pPr>
        <w:pStyle w:val="Heading2"/>
      </w:pPr>
      <w:r>
        <w:t>Models Evaluated</w:t>
      </w:r>
    </w:p>
    <w:tbl>
      <w:tblPr>
        <w:tblStyle w:val="TableGrid"/>
        <w:tblW w:type="auto" w:w="0"/>
        <w:jc w:val="center"/>
        <w:tblLook w:firstColumn="1" w:firstRow="1" w:lastColumn="0" w:lastRow="0" w:noHBand="0" w:noVBand="1" w:val="04A0"/>
      </w:tblPr>
      <w:tblGrid>
        <w:gridCol w:w="4968"/>
        <w:gridCol w:w="4968"/>
      </w:tblGrid>
      <w:tr>
        <w:tc>
          <w:tcPr>
            <w:tcW w:type="dxa" w:w="3600"/>
            <w:vAlign w:val="center"/>
            <w:shd w:val="clear" w:color="auto" w:fill="1F4E78"/>
          </w:tcPr>
          <w:p>
            <w:r>
              <w:rPr>
                <w:color w:val="FFFFFF"/>
              </w:rPr>
            </w:r>
            <w:r>
              <w:rPr>
                <w:b/>
                <w:color w:val="FFFFFF"/>
                <w:sz w:val="18"/>
              </w:rPr>
              <w:t>Model</w:t>
            </w:r>
          </w:p>
        </w:tc>
        <w:tc>
          <w:tcPr>
            <w:tcW w:type="dxa" w:w="5328"/>
            <w:vAlign w:val="center"/>
            <w:shd w:val="clear" w:color="auto" w:fill="1F4E78"/>
          </w:tcPr>
          <w:p>
            <w:r>
              <w:rPr>
                <w:color w:val="FFFFFF"/>
              </w:rPr>
            </w:r>
            <w:r>
              <w:rPr>
                <w:b/>
                <w:color w:val="FFFFFF"/>
                <w:sz w:val="18"/>
              </w:rPr>
              <w:t>Role</w:t>
            </w:r>
          </w:p>
        </w:tc>
      </w:tr>
      <w:tr>
        <w:tc>
          <w:tcPr>
            <w:tcW w:type="dxa" w:w="3600"/>
            <w:vAlign w:val="center"/>
          </w:tcPr>
          <w:p>
            <w:r/>
            <w:r>
              <w:rPr>
                <w:b w:val="0"/>
                <w:sz w:val="18"/>
              </w:rPr>
              <w:t>Previous Hour</w:t>
            </w:r>
          </w:p>
        </w:tc>
        <w:tc>
          <w:tcPr>
            <w:tcW w:type="dxa" w:w="5328"/>
            <w:vAlign w:val="center"/>
          </w:tcPr>
          <w:p>
            <w:r/>
            <w:r>
              <w:rPr>
                <w:b w:val="0"/>
                <w:sz w:val="18"/>
              </w:rPr>
              <w:t>Forecasting baseline using the previous hour's demand.</w:t>
            </w:r>
          </w:p>
        </w:tc>
      </w:tr>
      <w:tr>
        <w:tc>
          <w:tcPr>
            <w:tcW w:type="dxa" w:w="3600"/>
            <w:vAlign w:val="center"/>
          </w:tcPr>
          <w:p>
            <w:r/>
            <w:r>
              <w:rPr>
                <w:b w:val="0"/>
                <w:sz w:val="18"/>
              </w:rPr>
              <w:t>Previous Day</w:t>
            </w:r>
          </w:p>
        </w:tc>
        <w:tc>
          <w:tcPr>
            <w:tcW w:type="dxa" w:w="5328"/>
            <w:vAlign w:val="center"/>
          </w:tcPr>
          <w:p>
            <w:r/>
            <w:r>
              <w:rPr>
                <w:b w:val="0"/>
                <w:sz w:val="18"/>
              </w:rPr>
              <w:t>Forecasting baseline using the previous day's demand.</w:t>
            </w:r>
          </w:p>
        </w:tc>
      </w:tr>
      <w:tr>
        <w:tc>
          <w:tcPr>
            <w:tcW w:type="dxa" w:w="3600"/>
            <w:vAlign w:val="center"/>
          </w:tcPr>
          <w:p>
            <w:r/>
            <w:r>
              <w:rPr>
                <w:b w:val="0"/>
                <w:sz w:val="18"/>
              </w:rPr>
              <w:t>Linear Regression</w:t>
            </w:r>
          </w:p>
        </w:tc>
        <w:tc>
          <w:tcPr>
            <w:tcW w:type="dxa" w:w="5328"/>
            <w:vAlign w:val="center"/>
          </w:tcPr>
          <w:p>
            <w:r/>
            <w:r>
              <w:rPr>
                <w:b w:val="0"/>
                <w:sz w:val="18"/>
              </w:rPr>
              <w:t>Linear regression benchmark.</w:t>
            </w:r>
          </w:p>
        </w:tc>
      </w:tr>
      <w:tr>
        <w:tc>
          <w:tcPr>
            <w:tcW w:type="dxa" w:w="3600"/>
            <w:vAlign w:val="center"/>
          </w:tcPr>
          <w:p>
            <w:r/>
            <w:r>
              <w:rPr>
                <w:b w:val="0"/>
                <w:sz w:val="18"/>
              </w:rPr>
              <w:t>Random Forest Regressor</w:t>
            </w:r>
          </w:p>
        </w:tc>
        <w:tc>
          <w:tcPr>
            <w:tcW w:type="dxa" w:w="5328"/>
            <w:vAlign w:val="center"/>
          </w:tcPr>
          <w:p>
            <w:r/>
            <w:r>
              <w:rPr>
                <w:b w:val="0"/>
                <w:sz w:val="18"/>
              </w:rPr>
              <w:t>Non-linear ensemble regression model.</w:t>
            </w:r>
          </w:p>
        </w:tc>
      </w:tr>
      <w:tr>
        <w:tc>
          <w:tcPr>
            <w:tcW w:type="dxa" w:w="3600"/>
            <w:vAlign w:val="center"/>
          </w:tcPr>
          <w:p>
            <w:r/>
            <w:r>
              <w:rPr>
                <w:b w:val="0"/>
                <w:sz w:val="18"/>
              </w:rPr>
              <w:t>Gradient Boosting Regressor</w:t>
            </w:r>
          </w:p>
        </w:tc>
        <w:tc>
          <w:tcPr>
            <w:tcW w:type="dxa" w:w="5328"/>
            <w:vAlign w:val="center"/>
          </w:tcPr>
          <w:p>
            <w:r/>
            <w:r>
              <w:rPr>
                <w:b w:val="0"/>
                <w:sz w:val="18"/>
              </w:rPr>
              <w:t>Sequential tree-boosting regression model.</w:t>
            </w:r>
          </w:p>
        </w:tc>
      </w:tr>
      <w:tr>
        <w:tc>
          <w:tcPr>
            <w:tcW w:type="dxa" w:w="3600"/>
            <w:vAlign w:val="center"/>
          </w:tcPr>
          <w:p>
            <w:r/>
            <w:r>
              <w:rPr>
                <w:b w:val="0"/>
                <w:sz w:val="18"/>
              </w:rPr>
              <w:t>HistGradientBoostingRegressor</w:t>
            </w:r>
          </w:p>
        </w:tc>
        <w:tc>
          <w:tcPr>
            <w:tcW w:type="dxa" w:w="5328"/>
            <w:vAlign w:val="center"/>
          </w:tcPr>
          <w:p>
            <w:r/>
            <w:r>
              <w:rPr>
                <w:b w:val="0"/>
                <w:sz w:val="18"/>
              </w:rPr>
              <w:t>Histogram-based gradient boosting model.</w:t>
            </w:r>
          </w:p>
        </w:tc>
      </w:tr>
    </w:tbl>
    <w:p/>
    <w:p>
      <w:pPr>
        <w:pStyle w:val="Heading2"/>
      </w:pPr>
      <w:r>
        <w:t>Validation Results</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3168"/>
            <w:vAlign w:val="center"/>
            <w:shd w:val="clear" w:color="auto" w:fill="1F4E78"/>
          </w:tcPr>
          <w:p>
            <w:r>
              <w:rPr>
                <w:color w:val="FFFFFF"/>
              </w:rPr>
            </w:r>
            <w:r>
              <w:rPr>
                <w:b/>
                <w:color w:val="FFFFFF"/>
                <w:sz w:val="18"/>
              </w:rPr>
              <w:t>Model</w:t>
            </w:r>
          </w:p>
        </w:tc>
        <w:tc>
          <w:tcPr>
            <w:tcW w:type="dxa" w:w="1296"/>
            <w:vAlign w:val="center"/>
            <w:shd w:val="clear" w:color="auto" w:fill="1F4E78"/>
          </w:tcPr>
          <w:p>
            <w:r>
              <w:rPr>
                <w:color w:val="FFFFFF"/>
              </w:rPr>
            </w:r>
            <w:r>
              <w:rPr>
                <w:b/>
                <w:color w:val="FFFFFF"/>
                <w:sz w:val="18"/>
              </w:rPr>
              <w:t>MAE</w:t>
            </w:r>
          </w:p>
        </w:tc>
        <w:tc>
          <w:tcPr>
            <w:tcW w:type="dxa" w:w="1296"/>
            <w:vAlign w:val="center"/>
            <w:shd w:val="clear" w:color="auto" w:fill="1F4E78"/>
          </w:tcPr>
          <w:p>
            <w:r>
              <w:rPr>
                <w:color w:val="FFFFFF"/>
              </w:rPr>
            </w:r>
            <w:r>
              <w:rPr>
                <w:b/>
                <w:color w:val="FFFFFF"/>
                <w:sz w:val="18"/>
              </w:rPr>
              <w:t>RMSE</w:t>
            </w:r>
          </w:p>
        </w:tc>
        <w:tc>
          <w:tcPr>
            <w:tcW w:type="dxa" w:w="1152"/>
            <w:vAlign w:val="center"/>
            <w:shd w:val="clear" w:color="auto" w:fill="1F4E78"/>
          </w:tcPr>
          <w:p>
            <w:r>
              <w:rPr>
                <w:color w:val="FFFFFF"/>
              </w:rPr>
            </w:r>
            <w:r>
              <w:rPr>
                <w:b/>
                <w:color w:val="FFFFFF"/>
                <w:sz w:val="18"/>
              </w:rPr>
              <w:t>R²</w:t>
            </w:r>
          </w:p>
        </w:tc>
        <w:tc>
          <w:tcPr>
            <w:tcW w:type="dxa" w:w="1440"/>
            <w:vAlign w:val="center"/>
            <w:shd w:val="clear" w:color="auto" w:fill="1F4E78"/>
          </w:tcPr>
          <w:p>
            <w:r>
              <w:rPr>
                <w:color w:val="FFFFFF"/>
              </w:rPr>
            </w:r>
            <w:r>
              <w:rPr>
                <w:b/>
                <w:color w:val="FFFFFF"/>
                <w:sz w:val="18"/>
              </w:rPr>
              <w:t>MAPE (%)</w:t>
            </w:r>
          </w:p>
        </w:tc>
      </w:tr>
      <w:tr>
        <w:tc>
          <w:tcPr>
            <w:tcW w:type="dxa" w:w="3168"/>
            <w:vAlign w:val="center"/>
          </w:tcPr>
          <w:p>
            <w:r/>
            <w:r>
              <w:rPr>
                <w:b w:val="0"/>
                <w:sz w:val="18"/>
              </w:rPr>
              <w:t>Gradient Boosting</w:t>
            </w:r>
          </w:p>
        </w:tc>
        <w:tc>
          <w:tcPr>
            <w:tcW w:type="dxa" w:w="1296"/>
            <w:vAlign w:val="center"/>
          </w:tcPr>
          <w:p>
            <w:r/>
            <w:r>
              <w:rPr>
                <w:b w:val="0"/>
                <w:sz w:val="18"/>
              </w:rPr>
              <w:t>16.0072</w:t>
            </w:r>
          </w:p>
        </w:tc>
        <w:tc>
          <w:tcPr>
            <w:tcW w:type="dxa" w:w="1296"/>
            <w:vAlign w:val="center"/>
          </w:tcPr>
          <w:p>
            <w:r/>
            <w:r>
              <w:rPr>
                <w:b w:val="0"/>
                <w:sz w:val="18"/>
              </w:rPr>
              <w:t>23.3062</w:t>
            </w:r>
          </w:p>
        </w:tc>
        <w:tc>
          <w:tcPr>
            <w:tcW w:type="dxa" w:w="1152"/>
            <w:vAlign w:val="center"/>
          </w:tcPr>
          <w:p>
            <w:r/>
            <w:r>
              <w:rPr>
                <w:b w:val="0"/>
                <w:sz w:val="18"/>
              </w:rPr>
              <w:t>0.0357</w:t>
            </w:r>
          </w:p>
        </w:tc>
        <w:tc>
          <w:tcPr>
            <w:tcW w:type="dxa" w:w="1440"/>
            <w:vAlign w:val="center"/>
          </w:tcPr>
          <w:p>
            <w:r/>
            <w:r>
              <w:rPr>
                <w:b w:val="0"/>
                <w:sz w:val="18"/>
              </w:rPr>
              <w:t>79.75</w:t>
            </w:r>
          </w:p>
        </w:tc>
      </w:tr>
      <w:tr>
        <w:tc>
          <w:tcPr>
            <w:tcW w:type="dxa" w:w="3168"/>
            <w:vAlign w:val="center"/>
          </w:tcPr>
          <w:p>
            <w:r/>
            <w:r>
              <w:rPr>
                <w:b w:val="0"/>
                <w:sz w:val="18"/>
              </w:rPr>
              <w:t>Linear Regression</w:t>
            </w:r>
          </w:p>
        </w:tc>
        <w:tc>
          <w:tcPr>
            <w:tcW w:type="dxa" w:w="1296"/>
            <w:vAlign w:val="center"/>
          </w:tcPr>
          <w:p>
            <w:r/>
            <w:r>
              <w:rPr>
                <w:b w:val="0"/>
                <w:sz w:val="18"/>
              </w:rPr>
              <w:t>16.0179</w:t>
            </w:r>
          </w:p>
        </w:tc>
        <w:tc>
          <w:tcPr>
            <w:tcW w:type="dxa" w:w="1296"/>
            <w:vAlign w:val="center"/>
          </w:tcPr>
          <w:p>
            <w:r/>
            <w:r>
              <w:rPr>
                <w:b w:val="0"/>
                <w:sz w:val="18"/>
              </w:rPr>
              <w:t>23.6682</w:t>
            </w:r>
          </w:p>
        </w:tc>
        <w:tc>
          <w:tcPr>
            <w:tcW w:type="dxa" w:w="1152"/>
            <w:vAlign w:val="center"/>
          </w:tcPr>
          <w:p>
            <w:r/>
            <w:r>
              <w:rPr>
                <w:b w:val="0"/>
                <w:sz w:val="18"/>
              </w:rPr>
              <w:t>0.0055</w:t>
            </w:r>
          </w:p>
        </w:tc>
        <w:tc>
          <w:tcPr>
            <w:tcW w:type="dxa" w:w="1440"/>
            <w:vAlign w:val="center"/>
          </w:tcPr>
          <w:p>
            <w:r/>
            <w:r>
              <w:rPr>
                <w:b w:val="0"/>
                <w:sz w:val="18"/>
              </w:rPr>
              <w:t>74.64</w:t>
            </w:r>
          </w:p>
        </w:tc>
      </w:tr>
      <w:tr>
        <w:tc>
          <w:tcPr>
            <w:tcW w:type="dxa" w:w="3168"/>
            <w:vAlign w:val="center"/>
          </w:tcPr>
          <w:p>
            <w:r/>
            <w:r>
              <w:rPr>
                <w:b w:val="0"/>
                <w:sz w:val="18"/>
              </w:rPr>
              <w:t>HistGradientBoosting</w:t>
            </w:r>
          </w:p>
        </w:tc>
        <w:tc>
          <w:tcPr>
            <w:tcW w:type="dxa" w:w="1296"/>
            <w:vAlign w:val="center"/>
          </w:tcPr>
          <w:p>
            <w:r/>
            <w:r>
              <w:rPr>
                <w:b w:val="0"/>
                <w:sz w:val="18"/>
              </w:rPr>
              <w:t>16.0273</w:t>
            </w:r>
          </w:p>
        </w:tc>
        <w:tc>
          <w:tcPr>
            <w:tcW w:type="dxa" w:w="1296"/>
            <w:vAlign w:val="center"/>
          </w:tcPr>
          <w:p>
            <w:r/>
            <w:r>
              <w:rPr>
                <w:b w:val="0"/>
                <w:sz w:val="18"/>
              </w:rPr>
              <w:t>23.3569</w:t>
            </w:r>
          </w:p>
        </w:tc>
        <w:tc>
          <w:tcPr>
            <w:tcW w:type="dxa" w:w="1152"/>
            <w:vAlign w:val="center"/>
          </w:tcPr>
          <w:p>
            <w:r/>
            <w:r>
              <w:rPr>
                <w:b w:val="0"/>
                <w:sz w:val="18"/>
              </w:rPr>
              <w:t>0.0315</w:t>
            </w:r>
          </w:p>
        </w:tc>
        <w:tc>
          <w:tcPr>
            <w:tcW w:type="dxa" w:w="1440"/>
            <w:vAlign w:val="center"/>
          </w:tcPr>
          <w:p>
            <w:r/>
            <w:r>
              <w:rPr>
                <w:b w:val="0"/>
                <w:sz w:val="18"/>
              </w:rPr>
              <w:t>79.74</w:t>
            </w:r>
          </w:p>
        </w:tc>
      </w:tr>
      <w:tr>
        <w:tc>
          <w:tcPr>
            <w:tcW w:type="dxa" w:w="3168"/>
            <w:vAlign w:val="center"/>
          </w:tcPr>
          <w:p>
            <w:r/>
            <w:r>
              <w:rPr>
                <w:b w:val="0"/>
                <w:sz w:val="18"/>
              </w:rPr>
              <w:t>Previous Day</w:t>
            </w:r>
          </w:p>
        </w:tc>
        <w:tc>
          <w:tcPr>
            <w:tcW w:type="dxa" w:w="1296"/>
            <w:vAlign w:val="center"/>
          </w:tcPr>
          <w:p>
            <w:r/>
            <w:r>
              <w:rPr>
                <w:b w:val="0"/>
                <w:sz w:val="18"/>
              </w:rPr>
              <w:t>16.7119</w:t>
            </w:r>
          </w:p>
        </w:tc>
        <w:tc>
          <w:tcPr>
            <w:tcW w:type="dxa" w:w="1296"/>
            <w:vAlign w:val="center"/>
          </w:tcPr>
          <w:p>
            <w:r/>
            <w:r>
              <w:rPr>
                <w:b w:val="0"/>
                <w:sz w:val="18"/>
              </w:rPr>
              <w:t>33.2488</w:t>
            </w:r>
          </w:p>
        </w:tc>
        <w:tc>
          <w:tcPr>
            <w:tcW w:type="dxa" w:w="1152"/>
            <w:vAlign w:val="center"/>
          </w:tcPr>
          <w:p>
            <w:r/>
            <w:r>
              <w:rPr>
                <w:b w:val="0"/>
                <w:sz w:val="18"/>
              </w:rPr>
              <w:t>-0.9626</w:t>
            </w:r>
          </w:p>
        </w:tc>
        <w:tc>
          <w:tcPr>
            <w:tcW w:type="dxa" w:w="1440"/>
            <w:vAlign w:val="center"/>
          </w:tcPr>
          <w:p>
            <w:r/>
            <w:r>
              <w:rPr>
                <w:b w:val="0"/>
                <w:sz w:val="18"/>
              </w:rPr>
              <w:t>90.58</w:t>
            </w:r>
          </w:p>
        </w:tc>
      </w:tr>
      <w:tr>
        <w:tc>
          <w:tcPr>
            <w:tcW w:type="dxa" w:w="3168"/>
            <w:vAlign w:val="center"/>
          </w:tcPr>
          <w:p>
            <w:r/>
            <w:r>
              <w:rPr>
                <w:b w:val="0"/>
                <w:sz w:val="18"/>
              </w:rPr>
              <w:t>Previous Hour</w:t>
            </w:r>
          </w:p>
        </w:tc>
        <w:tc>
          <w:tcPr>
            <w:tcW w:type="dxa" w:w="1296"/>
            <w:vAlign w:val="center"/>
          </w:tcPr>
          <w:p>
            <w:r/>
            <w:r>
              <w:rPr>
                <w:b w:val="0"/>
                <w:sz w:val="18"/>
              </w:rPr>
              <w:t>16.7148</w:t>
            </w:r>
          </w:p>
        </w:tc>
        <w:tc>
          <w:tcPr>
            <w:tcW w:type="dxa" w:w="1296"/>
            <w:vAlign w:val="center"/>
          </w:tcPr>
          <w:p>
            <w:r/>
            <w:r>
              <w:rPr>
                <w:b w:val="0"/>
                <w:sz w:val="18"/>
              </w:rPr>
              <w:t>33.3274</w:t>
            </w:r>
          </w:p>
        </w:tc>
        <w:tc>
          <w:tcPr>
            <w:tcW w:type="dxa" w:w="1152"/>
            <w:vAlign w:val="center"/>
          </w:tcPr>
          <w:p>
            <w:r/>
            <w:r>
              <w:rPr>
                <w:b w:val="0"/>
                <w:sz w:val="18"/>
              </w:rPr>
              <w:t>-0.9719</w:t>
            </w:r>
          </w:p>
        </w:tc>
        <w:tc>
          <w:tcPr>
            <w:tcW w:type="dxa" w:w="1440"/>
            <w:vAlign w:val="center"/>
          </w:tcPr>
          <w:p>
            <w:r/>
            <w:r>
              <w:rPr>
                <w:b w:val="0"/>
                <w:sz w:val="18"/>
              </w:rPr>
              <w:t>93.12</w:t>
            </w:r>
          </w:p>
        </w:tc>
      </w:tr>
      <w:tr>
        <w:tc>
          <w:tcPr>
            <w:tcW w:type="dxa" w:w="3168"/>
            <w:vAlign w:val="center"/>
          </w:tcPr>
          <w:p>
            <w:r/>
            <w:r>
              <w:rPr>
                <w:b w:val="0"/>
                <w:sz w:val="18"/>
              </w:rPr>
              <w:t>Random Forest</w:t>
            </w:r>
          </w:p>
        </w:tc>
        <w:tc>
          <w:tcPr>
            <w:tcW w:type="dxa" w:w="1296"/>
            <w:vAlign w:val="center"/>
          </w:tcPr>
          <w:p>
            <w:r/>
            <w:r>
              <w:rPr>
                <w:b w:val="0"/>
                <w:sz w:val="18"/>
              </w:rPr>
              <w:t>17.0865</w:t>
            </w:r>
          </w:p>
        </w:tc>
        <w:tc>
          <w:tcPr>
            <w:tcW w:type="dxa" w:w="1296"/>
            <w:vAlign w:val="center"/>
          </w:tcPr>
          <w:p>
            <w:r/>
            <w:r>
              <w:rPr>
                <w:b w:val="0"/>
                <w:sz w:val="18"/>
              </w:rPr>
              <w:t>24.0808</w:t>
            </w:r>
          </w:p>
        </w:tc>
        <w:tc>
          <w:tcPr>
            <w:tcW w:type="dxa" w:w="1152"/>
            <w:vAlign w:val="center"/>
          </w:tcPr>
          <w:p>
            <w:r/>
            <w:r>
              <w:rPr>
                <w:b w:val="0"/>
                <w:sz w:val="18"/>
              </w:rPr>
              <w:t>-0.0295</w:t>
            </w:r>
          </w:p>
        </w:tc>
        <w:tc>
          <w:tcPr>
            <w:tcW w:type="dxa" w:w="1440"/>
            <w:vAlign w:val="center"/>
          </w:tcPr>
          <w:p>
            <w:r/>
            <w:r>
              <w:rPr>
                <w:b w:val="0"/>
                <w:sz w:val="18"/>
              </w:rPr>
              <w:t>76.69</w:t>
            </w:r>
          </w:p>
        </w:tc>
      </w:tr>
    </w:tbl>
    <w:p/>
    <w:p>
      <w:r>
        <w:t>Gradient Boosting was selected using validation MAE. This is a dataset- and test-period-specific model selection result, not a claim that Gradient Boosting is universally the best forecasting algorithm.</w:t>
      </w:r>
    </w:p>
    <w:p>
      <w:pPr>
        <w:pStyle w:val="Heading2"/>
      </w:pPr>
      <w:r>
        <w:t>Final Held-Out Test Performance</w:t>
      </w:r>
    </w:p>
    <w:tbl>
      <w:tblPr>
        <w:tblStyle w:val="TableGrid"/>
        <w:tblW w:type="auto" w:w="0"/>
        <w:jc w:val="center"/>
        <w:tblLook w:firstColumn="1" w:firstRow="1" w:lastColumn="0" w:lastRow="0" w:noHBand="0" w:noVBand="1" w:val="04A0"/>
      </w:tblPr>
      <w:tblGrid>
        <w:gridCol w:w="4968"/>
        <w:gridCol w:w="4968"/>
      </w:tblGrid>
      <w:tr>
        <w:tc>
          <w:tcPr>
            <w:tcW w:type="dxa" w:w="4320"/>
            <w:vAlign w:val="center"/>
            <w:shd w:val="clear" w:color="auto" w:fill="1F4E78"/>
          </w:tcPr>
          <w:p>
            <w:r>
              <w:rPr>
                <w:color w:val="FFFFFF"/>
              </w:rPr>
            </w:r>
            <w:r>
              <w:rPr>
                <w:b/>
                <w:color w:val="FFFFFF"/>
                <w:sz w:val="18"/>
              </w:rPr>
              <w:t>Metric</w:t>
            </w:r>
          </w:p>
        </w:tc>
        <w:tc>
          <w:tcPr>
            <w:tcW w:type="dxa" w:w="4608"/>
            <w:vAlign w:val="center"/>
            <w:shd w:val="clear" w:color="auto" w:fill="1F4E78"/>
          </w:tcPr>
          <w:p>
            <w:r>
              <w:rPr>
                <w:color w:val="FFFFFF"/>
              </w:rPr>
            </w:r>
            <w:r>
              <w:rPr>
                <w:b/>
                <w:color w:val="FFFFFF"/>
                <w:sz w:val="18"/>
              </w:rPr>
              <w:t>Gradient Boosting</w:t>
            </w:r>
          </w:p>
        </w:tc>
      </w:tr>
      <w:tr>
        <w:tc>
          <w:tcPr>
            <w:tcW w:type="dxa" w:w="4320"/>
            <w:vAlign w:val="center"/>
          </w:tcPr>
          <w:p>
            <w:r/>
            <w:r>
              <w:rPr>
                <w:b w:val="0"/>
                <w:sz w:val="18"/>
              </w:rPr>
              <w:t>MAE</w:t>
            </w:r>
          </w:p>
        </w:tc>
        <w:tc>
          <w:tcPr>
            <w:tcW w:type="dxa" w:w="4608"/>
            <w:vAlign w:val="center"/>
          </w:tcPr>
          <w:p>
            <w:r/>
            <w:r>
              <w:rPr>
                <w:b w:val="0"/>
                <w:sz w:val="18"/>
              </w:rPr>
              <w:t>16.065038</w:t>
            </w:r>
          </w:p>
        </w:tc>
      </w:tr>
      <w:tr>
        <w:tc>
          <w:tcPr>
            <w:tcW w:type="dxa" w:w="4320"/>
            <w:vAlign w:val="center"/>
          </w:tcPr>
          <w:p>
            <w:r/>
            <w:r>
              <w:rPr>
                <w:b w:val="0"/>
                <w:sz w:val="18"/>
              </w:rPr>
              <w:t>RMSE</w:t>
            </w:r>
          </w:p>
        </w:tc>
        <w:tc>
          <w:tcPr>
            <w:tcW w:type="dxa" w:w="4608"/>
            <w:vAlign w:val="center"/>
          </w:tcPr>
          <w:p>
            <w:r/>
            <w:r>
              <w:rPr>
                <w:b w:val="0"/>
                <w:sz w:val="18"/>
              </w:rPr>
              <w:t>23.460165</w:t>
            </w:r>
          </w:p>
        </w:tc>
      </w:tr>
      <w:tr>
        <w:tc>
          <w:tcPr>
            <w:tcW w:type="dxa" w:w="4320"/>
            <w:vAlign w:val="center"/>
          </w:tcPr>
          <w:p>
            <w:r/>
            <w:r>
              <w:rPr>
                <w:b w:val="0"/>
                <w:sz w:val="18"/>
              </w:rPr>
              <w:t>R²</w:t>
            </w:r>
          </w:p>
        </w:tc>
        <w:tc>
          <w:tcPr>
            <w:tcW w:type="dxa" w:w="4608"/>
            <w:vAlign w:val="center"/>
          </w:tcPr>
          <w:p>
            <w:r/>
            <w:r>
              <w:rPr>
                <w:b w:val="0"/>
                <w:sz w:val="18"/>
              </w:rPr>
              <w:t>0.036521</w:t>
            </w:r>
          </w:p>
        </w:tc>
      </w:tr>
      <w:tr>
        <w:tc>
          <w:tcPr>
            <w:tcW w:type="dxa" w:w="4320"/>
            <w:vAlign w:val="center"/>
          </w:tcPr>
          <w:p>
            <w:r/>
            <w:r>
              <w:rPr>
                <w:b w:val="0"/>
                <w:sz w:val="18"/>
              </w:rPr>
              <w:t>MAPE</w:t>
            </w:r>
          </w:p>
        </w:tc>
        <w:tc>
          <w:tcPr>
            <w:tcW w:type="dxa" w:w="4608"/>
            <w:vAlign w:val="center"/>
          </w:tcPr>
          <w:p>
            <w:r/>
            <w:r>
              <w:rPr>
                <w:b w:val="0"/>
                <w:sz w:val="18"/>
              </w:rPr>
              <w:t>80.046629%</w:t>
            </w:r>
          </w:p>
        </w:tc>
      </w:tr>
    </w:tbl>
    <w:p/>
    <w:p>
      <w:r>
        <w:t>MAPE is reported as a supplementary metric using non-zero actual values because the station-hour target contains zero-demand observations. The modest test R² indicates that substantial variation in next-hour demand remains unexplained by the available features.</w:t>
      </w:r>
    </w:p>
    <w:p>
      <w:pPr>
        <w:jc w:val="center"/>
      </w:pPr>
      <w:r>
        <w:drawing>
          <wp:inline xmlns:a="http://schemas.openxmlformats.org/drawingml/2006/main" xmlns:pic="http://schemas.openxmlformats.org/drawingml/2006/picture">
            <wp:extent cx="6035040" cy="3412483"/>
            <wp:docPr id="5" name="Picture 5"/>
            <wp:cNvGraphicFramePr>
              <a:graphicFrameLocks noChangeAspect="1"/>
            </wp:cNvGraphicFramePr>
            <a:graphic>
              <a:graphicData uri="http://schemas.openxmlformats.org/drawingml/2006/picture">
                <pic:pic>
                  <pic:nvPicPr>
                    <pic:cNvPr id="0" name="image(20260923-181640).png"/>
                    <pic:cNvPicPr/>
                  </pic:nvPicPr>
                  <pic:blipFill>
                    <a:blip r:embed="rId14"/>
                    <a:stretch>
                      <a:fillRect/>
                    </a:stretch>
                  </pic:blipFill>
                  <pic:spPr>
                    <a:xfrm>
                      <a:off x="0" y="0"/>
                      <a:ext cx="6035040" cy="3412483"/>
                    </a:xfrm>
                    <a:prstGeom prst="rect"/>
                  </pic:spPr>
                </pic:pic>
              </a:graphicData>
            </a:graphic>
          </wp:inline>
        </w:drawing>
      </w:r>
    </w:p>
    <w:p>
      <w:pPr>
        <w:jc w:val="center"/>
      </w:pPr>
      <w:r>
        <w:rPr>
          <w:i/>
          <w:color w:val="5A5A5A"/>
          <w:sz w:val="18"/>
        </w:rPr>
        <w:t>Figure 5. Streamlit model-training/performance view showing the selected model and final test metrics.</w:t>
      </w:r>
    </w:p>
    <w:p>
      <w:pPr>
        <w:pStyle w:val="Heading1"/>
      </w:pPr>
      <w:r>
        <w:t>5. Frontend UI</w:t>
      </w:r>
    </w:p>
    <w:p>
      <w:r>
        <w:t>The project uses Streamlit as its interactive frontend. The dashboard presents the dataset, forecasting workflow, model performance, station analysis, feature importance, and forecasting results in a dark-themed interface.</w:t>
      </w:r>
    </w:p>
    <w:p>
      <w:pPr>
        <w:pStyle w:val="Heading2"/>
      </w:pPr>
      <w:r>
        <w:t>Main Dashboard Features</w:t>
      </w:r>
    </w:p>
    <w:p>
      <w:pPr>
        <w:pStyle w:val="ListBullet"/>
        <w:spacing w:after="40"/>
      </w:pPr>
      <w:r>
        <w:t>Project Overview with key project statistics and prediction objective.</w:t>
      </w:r>
    </w:p>
    <w:p>
      <w:pPr>
        <w:pStyle w:val="ListBullet"/>
        <w:spacing w:after="40"/>
      </w:pPr>
      <w:r>
        <w:t>Dataset Breakdown with station, location, and vehicle-type views.</w:t>
      </w:r>
    </w:p>
    <w:p>
      <w:pPr>
        <w:pStyle w:val="ListBullet"/>
        <w:spacing w:after="40"/>
      </w:pPr>
      <w:r>
        <w:t>Station-wise demand visualization and summary table.</w:t>
      </w:r>
    </w:p>
    <w:p>
      <w:pPr>
        <w:pStyle w:val="ListBullet"/>
        <w:spacing w:after="40"/>
      </w:pPr>
      <w:r>
        <w:t>Location-wise comparison between Highway and Urban observations.</w:t>
      </w:r>
    </w:p>
    <w:p>
      <w:pPr>
        <w:pStyle w:val="ListBullet"/>
        <w:spacing w:after="40"/>
      </w:pPr>
      <w:r>
        <w:t>Vehicle-type analysis for Car, Bus, and Two-Wheeler categories.</w:t>
      </w:r>
    </w:p>
    <w:p>
      <w:pPr>
        <w:pStyle w:val="ListBullet"/>
        <w:spacing w:after="40"/>
      </w:pPr>
      <w:r>
        <w:t>Model-training and final-test performance display.</w:t>
      </w:r>
    </w:p>
    <w:p>
      <w:pPr>
        <w:pStyle w:val="ListBullet"/>
        <w:spacing w:after="40"/>
      </w:pPr>
      <w:r>
        <w:t>Forecast and model-analysis sections.</w:t>
      </w:r>
    </w:p>
    <w:p>
      <w:pPr>
        <w:pStyle w:val="ListBullet"/>
        <w:spacing w:after="40"/>
      </w:pPr>
      <w:r>
        <w:t>Feature importance and methodology sections.</w:t>
      </w:r>
    </w:p>
    <w:p>
      <w:pPr>
        <w:pStyle w:val="Heading2"/>
      </w:pPr>
      <w:r>
        <w:t>UI Screenshots</w:t>
      </w:r>
    </w:p>
    <w:p>
      <w:pPr>
        <w:jc w:val="center"/>
      </w:pPr>
      <w:r>
        <w:drawing>
          <wp:inline xmlns:a="http://schemas.openxmlformats.org/drawingml/2006/main" xmlns:pic="http://schemas.openxmlformats.org/drawingml/2006/picture">
            <wp:extent cx="6035040" cy="3425978"/>
            <wp:docPr id="6" name="Picture 6"/>
            <wp:cNvGraphicFramePr>
              <a:graphicFrameLocks noChangeAspect="1"/>
            </wp:cNvGraphicFramePr>
            <a:graphic>
              <a:graphicData uri="http://schemas.openxmlformats.org/drawingml/2006/picture">
                <pic:pic>
                  <pic:nvPicPr>
                    <pic:cNvPr id="0" name="image(20260923-181629).png"/>
                    <pic:cNvPicPr/>
                  </pic:nvPicPr>
                  <pic:blipFill>
                    <a:blip r:embed="rId10"/>
                    <a:stretch>
                      <a:fillRect/>
                    </a:stretch>
                  </pic:blipFill>
                  <pic:spPr>
                    <a:xfrm>
                      <a:off x="0" y="0"/>
                      <a:ext cx="6035040" cy="3425978"/>
                    </a:xfrm>
                    <a:prstGeom prst="rect"/>
                  </pic:spPr>
                </pic:pic>
              </a:graphicData>
            </a:graphic>
          </wp:inline>
        </w:drawing>
      </w:r>
    </w:p>
    <w:p>
      <w:pPr>
        <w:jc w:val="center"/>
      </w:pPr>
      <w:r>
        <w:rPr>
          <w:i/>
          <w:color w:val="5A5A5A"/>
          <w:sz w:val="18"/>
        </w:rPr>
        <w:t>Figure 6. Project Overview and dataset breakdown.</w:t>
      </w:r>
    </w:p>
    <w:p>
      <w:pPr>
        <w:jc w:val="center"/>
      </w:pPr>
      <w:r>
        <w:drawing>
          <wp:inline xmlns:a="http://schemas.openxmlformats.org/drawingml/2006/main" xmlns:pic="http://schemas.openxmlformats.org/drawingml/2006/picture">
            <wp:extent cx="6035040" cy="3376711"/>
            <wp:docPr id="7" name="Picture 7"/>
            <wp:cNvGraphicFramePr>
              <a:graphicFrameLocks noChangeAspect="1"/>
            </wp:cNvGraphicFramePr>
            <a:graphic>
              <a:graphicData uri="http://schemas.openxmlformats.org/drawingml/2006/picture">
                <pic:pic>
                  <pic:nvPicPr>
                    <pic:cNvPr id="0" name="image(20260923-181642).png"/>
                    <pic:cNvPicPr/>
                  </pic:nvPicPr>
                  <pic:blipFill>
                    <a:blip r:embed="rId11"/>
                    <a:stretch>
                      <a:fillRect/>
                    </a:stretch>
                  </pic:blipFill>
                  <pic:spPr>
                    <a:xfrm>
                      <a:off x="0" y="0"/>
                      <a:ext cx="6035040" cy="3376711"/>
                    </a:xfrm>
                    <a:prstGeom prst="rect"/>
                  </pic:spPr>
                </pic:pic>
              </a:graphicData>
            </a:graphic>
          </wp:inline>
        </w:drawing>
      </w:r>
    </w:p>
    <w:p>
      <w:pPr>
        <w:jc w:val="center"/>
      </w:pPr>
      <w:r>
        <w:rPr>
          <w:i/>
          <w:color w:val="5A5A5A"/>
          <w:sz w:val="18"/>
        </w:rPr>
        <w:t>Figure 7. Station-wise analysis view.</w:t>
      </w:r>
    </w:p>
    <w:p>
      <w:pPr>
        <w:jc w:val="center"/>
      </w:pPr>
      <w:r>
        <w:drawing>
          <wp:inline xmlns:a="http://schemas.openxmlformats.org/drawingml/2006/main" xmlns:pic="http://schemas.openxmlformats.org/drawingml/2006/picture">
            <wp:extent cx="6035040" cy="3413028"/>
            <wp:docPr id="8" name="Picture 8"/>
            <wp:cNvGraphicFramePr>
              <a:graphicFrameLocks noChangeAspect="1"/>
            </wp:cNvGraphicFramePr>
            <a:graphic>
              <a:graphicData uri="http://schemas.openxmlformats.org/drawingml/2006/picture">
                <pic:pic>
                  <pic:nvPicPr>
                    <pic:cNvPr id="0" name="image(20260923-181644).png"/>
                    <pic:cNvPicPr/>
                  </pic:nvPicPr>
                  <pic:blipFill>
                    <a:blip r:embed="rId12"/>
                    <a:stretch>
                      <a:fillRect/>
                    </a:stretch>
                  </pic:blipFill>
                  <pic:spPr>
                    <a:xfrm>
                      <a:off x="0" y="0"/>
                      <a:ext cx="6035040" cy="3413028"/>
                    </a:xfrm>
                    <a:prstGeom prst="rect"/>
                  </pic:spPr>
                </pic:pic>
              </a:graphicData>
            </a:graphic>
          </wp:inline>
        </w:drawing>
      </w:r>
    </w:p>
    <w:p>
      <w:pPr>
        <w:jc w:val="center"/>
      </w:pPr>
      <w:r>
        <w:rPr>
          <w:i/>
          <w:color w:val="5A5A5A"/>
          <w:sz w:val="18"/>
        </w:rPr>
        <w:t>Figure 8. Location-wise analysis view.</w:t>
      </w:r>
    </w:p>
    <w:p>
      <w:pPr>
        <w:jc w:val="center"/>
      </w:pPr>
      <w:r>
        <w:drawing>
          <wp:inline xmlns:a="http://schemas.openxmlformats.org/drawingml/2006/main" xmlns:pic="http://schemas.openxmlformats.org/drawingml/2006/picture">
            <wp:extent cx="6035040" cy="3402028"/>
            <wp:docPr id="9" name="Picture 9"/>
            <wp:cNvGraphicFramePr>
              <a:graphicFrameLocks noChangeAspect="1"/>
            </wp:cNvGraphicFramePr>
            <a:graphic>
              <a:graphicData uri="http://schemas.openxmlformats.org/drawingml/2006/picture">
                <pic:pic>
                  <pic:nvPicPr>
                    <pic:cNvPr id="0" name="image(20260923-181637).png"/>
                    <pic:cNvPicPr/>
                  </pic:nvPicPr>
                  <pic:blipFill>
                    <a:blip r:embed="rId13"/>
                    <a:stretch>
                      <a:fillRect/>
                    </a:stretch>
                  </pic:blipFill>
                  <pic:spPr>
                    <a:xfrm>
                      <a:off x="0" y="0"/>
                      <a:ext cx="6035040" cy="3402028"/>
                    </a:xfrm>
                    <a:prstGeom prst="rect"/>
                  </pic:spPr>
                </pic:pic>
              </a:graphicData>
            </a:graphic>
          </wp:inline>
        </w:drawing>
      </w:r>
    </w:p>
    <w:p>
      <w:pPr>
        <w:jc w:val="center"/>
      </w:pPr>
      <w:r>
        <w:rPr>
          <w:i/>
          <w:color w:val="5A5A5A"/>
          <w:sz w:val="18"/>
        </w:rPr>
        <w:t>Figure 9. Vehicle-type analysis view.</w:t>
      </w:r>
    </w:p>
    <w:p>
      <w:pPr>
        <w:jc w:val="center"/>
      </w:pPr>
      <w:r>
        <w:drawing>
          <wp:inline xmlns:a="http://schemas.openxmlformats.org/drawingml/2006/main" xmlns:pic="http://schemas.openxmlformats.org/drawingml/2006/picture">
            <wp:extent cx="6035040" cy="3412483"/>
            <wp:docPr id="10" name="Picture 10"/>
            <wp:cNvGraphicFramePr>
              <a:graphicFrameLocks noChangeAspect="1"/>
            </wp:cNvGraphicFramePr>
            <a:graphic>
              <a:graphicData uri="http://schemas.openxmlformats.org/drawingml/2006/picture">
                <pic:pic>
                  <pic:nvPicPr>
                    <pic:cNvPr id="0" name="image(20260923-181640).png"/>
                    <pic:cNvPicPr/>
                  </pic:nvPicPr>
                  <pic:blipFill>
                    <a:blip r:embed="rId14"/>
                    <a:stretch>
                      <a:fillRect/>
                    </a:stretch>
                  </pic:blipFill>
                  <pic:spPr>
                    <a:xfrm>
                      <a:off x="0" y="0"/>
                      <a:ext cx="6035040" cy="3412483"/>
                    </a:xfrm>
                    <a:prstGeom prst="rect"/>
                  </pic:spPr>
                </pic:pic>
              </a:graphicData>
            </a:graphic>
          </wp:inline>
        </w:drawing>
      </w:r>
    </w:p>
    <w:p>
      <w:pPr>
        <w:jc w:val="center"/>
      </w:pPr>
      <w:r>
        <w:rPr>
          <w:i/>
          <w:color w:val="5A5A5A"/>
          <w:sz w:val="18"/>
        </w:rPr>
        <w:t>Figure 10. Model selection and final test performance view.</w:t>
      </w:r>
    </w:p>
    <w:p>
      <w:pPr>
        <w:pStyle w:val="Heading1"/>
      </w:pPr>
      <w:r>
        <w:t>6. Sample Prediction Result</w:t>
      </w:r>
    </w:p>
    <w:p>
      <w:r>
        <w:t>The forecasting module generates a next-hour prediction for each station using the latest model-ready historical observation available in the prepared station-hour dataset. The forecast shown below is a historical-endpoint demonstration from the project's verified forecasting run; it is not a live real-time forecast.</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440"/>
            <w:vAlign w:val="center"/>
            <w:shd w:val="clear" w:color="auto" w:fill="1F4E78"/>
          </w:tcPr>
          <w:p>
            <w:r>
              <w:rPr>
                <w:color w:val="FFFFFF"/>
              </w:rPr>
            </w:r>
            <w:r>
              <w:rPr>
                <w:b/>
                <w:color w:val="FFFFFF"/>
                <w:sz w:val="18"/>
              </w:rPr>
              <w:t>Station</w:t>
            </w:r>
          </w:p>
        </w:tc>
        <w:tc>
          <w:tcPr>
            <w:tcW w:type="dxa" w:w="2448"/>
            <w:vAlign w:val="center"/>
            <w:shd w:val="clear" w:color="auto" w:fill="1F4E78"/>
          </w:tcPr>
          <w:p>
            <w:r>
              <w:rPr>
                <w:color w:val="FFFFFF"/>
              </w:rPr>
            </w:r>
            <w:r>
              <w:rPr>
                <w:b/>
                <w:color w:val="FFFFFF"/>
                <w:sz w:val="18"/>
              </w:rPr>
              <w:t>Latest Observation</w:t>
            </w:r>
          </w:p>
        </w:tc>
        <w:tc>
          <w:tcPr>
            <w:tcW w:type="dxa" w:w="2160"/>
            <w:vAlign w:val="center"/>
            <w:shd w:val="clear" w:color="auto" w:fill="1F4E78"/>
          </w:tcPr>
          <w:p>
            <w:r>
              <w:rPr>
                <w:color w:val="FFFFFF"/>
              </w:rPr>
            </w:r>
            <w:r>
              <w:rPr>
                <w:b/>
                <w:color w:val="FFFFFF"/>
                <w:sz w:val="18"/>
              </w:rPr>
              <w:t>Forecast Hour</w:t>
            </w:r>
          </w:p>
        </w:tc>
        <w:tc>
          <w:tcPr>
            <w:tcW w:type="dxa" w:w="2016"/>
            <w:vAlign w:val="center"/>
            <w:shd w:val="clear" w:color="auto" w:fill="1F4E78"/>
          </w:tcPr>
          <w:p>
            <w:r>
              <w:rPr>
                <w:color w:val="FFFFFF"/>
              </w:rPr>
            </w:r>
            <w:r>
              <w:rPr>
                <w:b/>
                <w:color w:val="FFFFFF"/>
                <w:sz w:val="18"/>
              </w:rPr>
              <w:t>Predicted Demand</w:t>
            </w:r>
          </w:p>
        </w:tc>
        <w:tc>
          <w:tcPr>
            <w:tcW w:type="dxa" w:w="1440"/>
            <w:vAlign w:val="center"/>
            <w:shd w:val="clear" w:color="auto" w:fill="1F4E78"/>
          </w:tcPr>
          <w:p>
            <w:r>
              <w:rPr>
                <w:color w:val="FFFFFF"/>
              </w:rPr>
            </w:r>
            <w:r>
              <w:rPr>
                <w:b/>
                <w:color w:val="FFFFFF"/>
                <w:sz w:val="18"/>
              </w:rPr>
              <w:t>Category</w:t>
            </w:r>
          </w:p>
        </w:tc>
      </w:tr>
      <w:tr>
        <w:tc>
          <w:tcPr>
            <w:tcW w:type="dxa" w:w="1440"/>
            <w:vAlign w:val="center"/>
          </w:tcPr>
          <w:p>
            <w:r/>
            <w:r>
              <w:rPr>
                <w:b w:val="0"/>
                <w:sz w:val="18"/>
              </w:rPr>
              <w:t>ST001</w:t>
            </w:r>
          </w:p>
        </w:tc>
        <w:tc>
          <w:tcPr>
            <w:tcW w:type="dxa" w:w="2448"/>
            <w:vAlign w:val="center"/>
          </w:tcPr>
          <w:p>
            <w:r/>
            <w:r>
              <w:rPr>
                <w:b w:val="0"/>
                <w:sz w:val="18"/>
              </w:rPr>
              <w:t>2025-03-28 23:00</w:t>
            </w:r>
          </w:p>
        </w:tc>
        <w:tc>
          <w:tcPr>
            <w:tcW w:type="dxa" w:w="2160"/>
            <w:vAlign w:val="center"/>
          </w:tcPr>
          <w:p>
            <w:r/>
            <w:r>
              <w:rPr>
                <w:b w:val="0"/>
                <w:sz w:val="18"/>
              </w:rPr>
              <w:t>2025-03-29 00:00</w:t>
            </w:r>
          </w:p>
        </w:tc>
        <w:tc>
          <w:tcPr>
            <w:tcW w:type="dxa" w:w="2016"/>
            <w:vAlign w:val="center"/>
          </w:tcPr>
          <w:p>
            <w:r/>
            <w:r>
              <w:rPr>
                <w:b w:val="0"/>
                <w:sz w:val="18"/>
              </w:rPr>
              <w:t>5.49</w:t>
            </w:r>
          </w:p>
        </w:tc>
        <w:tc>
          <w:tcPr>
            <w:tcW w:type="dxa" w:w="1440"/>
            <w:vAlign w:val="center"/>
          </w:tcPr>
          <w:p>
            <w:r/>
            <w:r>
              <w:rPr>
                <w:b w:val="0"/>
                <w:sz w:val="18"/>
              </w:rPr>
              <w:t>Low</w:t>
            </w:r>
          </w:p>
        </w:tc>
      </w:tr>
    </w:tbl>
    <w:p/>
    <w:p>
      <w:r>
        <w:t>The dashboard also reports the held-out test performance of the selected Gradient Boosting model: MAE 16.07, RMSE 23.46, R² 0.0365, and supplementary MAPE 80.05%.</w:t>
      </w:r>
    </w:p>
    <w:p>
      <w:pPr>
        <w:jc w:val="center"/>
      </w:pPr>
      <w:r>
        <w:drawing>
          <wp:inline xmlns:a="http://schemas.openxmlformats.org/drawingml/2006/main" xmlns:pic="http://schemas.openxmlformats.org/drawingml/2006/picture">
            <wp:extent cx="6035040" cy="3412483"/>
            <wp:docPr id="11" name="Picture 11"/>
            <wp:cNvGraphicFramePr>
              <a:graphicFrameLocks noChangeAspect="1"/>
            </wp:cNvGraphicFramePr>
            <a:graphic>
              <a:graphicData uri="http://schemas.openxmlformats.org/drawingml/2006/picture">
                <pic:pic>
                  <pic:nvPicPr>
                    <pic:cNvPr id="0" name="image(20260923-181640).png"/>
                    <pic:cNvPicPr/>
                  </pic:nvPicPr>
                  <pic:blipFill>
                    <a:blip r:embed="rId14"/>
                    <a:stretch>
                      <a:fillRect/>
                    </a:stretch>
                  </pic:blipFill>
                  <pic:spPr>
                    <a:xfrm>
                      <a:off x="0" y="0"/>
                      <a:ext cx="6035040" cy="3412483"/>
                    </a:xfrm>
                    <a:prstGeom prst="rect"/>
                  </pic:spPr>
                </pic:pic>
              </a:graphicData>
            </a:graphic>
          </wp:inline>
        </w:drawing>
      </w:r>
    </w:p>
    <w:p>
      <w:pPr>
        <w:jc w:val="center"/>
      </w:pPr>
      <w:r>
        <w:rPr>
          <w:i/>
          <w:color w:val="5A5A5A"/>
          <w:sz w:val="18"/>
        </w:rPr>
        <w:t>Figure 11. Final model performance displayed in the Streamlit dashboard.</w:t>
      </w:r>
    </w:p>
    <w:p>
      <w:pPr>
        <w:pStyle w:val="Heading1"/>
      </w:pPr>
      <w:r>
        <w:t>7. How to Run the Project</w:t>
      </w:r>
    </w:p>
    <w:p>
      <w:pPr>
        <w:pStyle w:val="Heading2"/>
      </w:pPr>
      <w:r>
        <w:t>Prerequisites</w:t>
      </w:r>
    </w:p>
    <w:p>
      <w:pPr>
        <w:pStyle w:val="ListBullet"/>
        <w:spacing w:after="40"/>
      </w:pPr>
      <w:r>
        <w:t>Python 3.10 or later.</w:t>
      </w:r>
    </w:p>
    <w:p>
      <w:pPr>
        <w:pStyle w:val="ListBullet"/>
        <w:spacing w:after="40"/>
      </w:pPr>
      <w:r>
        <w:t>VS Code, Jupyter Notebook, or another Python development environment.</w:t>
      </w:r>
    </w:p>
    <w:p>
      <w:pPr>
        <w:pStyle w:val="ListBullet"/>
        <w:spacing w:after="40"/>
      </w:pPr>
      <w:r>
        <w:t>The project dataset file: EV_Charging_Demand_Dataset_Full.csv.</w:t>
      </w:r>
    </w:p>
    <w:p>
      <w:pPr>
        <w:pStyle w:val="ListBullet"/>
        <w:spacing w:after="40"/>
      </w:pPr>
      <w:r>
        <w:t>The project source code and trained model artifacts.</w:t>
      </w:r>
    </w:p>
    <w:p>
      <w:pPr>
        <w:pStyle w:val="Heading2"/>
      </w:pPr>
      <w:r>
        <w:t>Step 1: Open the Project</w:t>
      </w:r>
    </w:p>
    <w:p>
      <w:r>
        <w:t>Open the project directory in VS Code or PowerShell:</w:t>
      </w:r>
    </w:p>
    <w:p>
      <w:r>
        <w:rPr>
          <w:rFonts w:ascii="Consolas" w:hAnsi="Consolas"/>
          <w:sz w:val="19"/>
        </w:rPr>
        <w:t>cd "C:\Users\Deepak\Downloads\EV_Charging_Streamlit"</w:t>
      </w:r>
    </w:p>
    <w:p>
      <w:pPr>
        <w:pStyle w:val="Heading2"/>
      </w:pPr>
      <w:r>
        <w:t>Step 2: Create / Activate Virtual Environment</w:t>
      </w:r>
    </w:p>
    <w:p>
      <w:r>
        <w:rPr>
          <w:rFonts w:ascii="Consolas" w:hAnsi="Consolas"/>
          <w:sz w:val="19"/>
        </w:rPr>
        <w:t>python -m venv .venv</w:t>
        <w:br/>
        <w:t>.venv\Scripts\activate</w:t>
      </w:r>
    </w:p>
    <w:p>
      <w:pPr>
        <w:pStyle w:val="Heading2"/>
      </w:pPr>
      <w:r>
        <w:t>Step 3: Install Dependencies</w:t>
      </w:r>
    </w:p>
    <w:p>
      <w:r>
        <w:rPr>
          <w:rFonts w:ascii="Consolas" w:hAnsi="Consolas"/>
          <w:sz w:val="19"/>
        </w:rPr>
        <w:t>pip install -r requirements.txt</w:t>
      </w:r>
    </w:p>
    <w:p>
      <w:pPr>
        <w:pStyle w:val="Heading2"/>
      </w:pPr>
      <w:r>
        <w:t>Step 4: Run the Streamlit Dashboard</w:t>
      </w:r>
    </w:p>
    <w:p>
      <w:r>
        <w:rPr>
          <w:rFonts w:ascii="Consolas" w:hAnsi="Consolas"/>
          <w:sz w:val="19"/>
        </w:rPr>
        <w:t>streamlit run app.py</w:t>
      </w:r>
    </w:p>
    <w:p>
      <w:r>
        <w:t>Streamlit will start the local web application and provide a browser URL. Open the displayed local URL to access the dashboard.</w:t>
      </w:r>
    </w:p>
    <w:p>
      <w:pPr>
        <w:pStyle w:val="Heading2"/>
      </w:pPr>
      <w:r>
        <w:t>Step 5: Run the Jupyter Submission Notebook</w:t>
      </w:r>
    </w:p>
    <w:p>
      <w:r>
        <w:rPr>
          <w:rFonts w:ascii="Consolas" w:hAnsi="Consolas"/>
          <w:sz w:val="19"/>
        </w:rPr>
        <w:t>jupyter notebook</w:t>
      </w:r>
    </w:p>
    <w:p>
      <w:r>
        <w:t>Open `Deepak_EV_Charging_Demand_Prediction.ipynb` and execute the cells from top to bottom. The notebook performs the reproducible data analysis, feature engineering, model training, evaluation, and next-hour forecasting workflow.</w:t>
      </w:r>
    </w:p>
    <w:p>
      <w:pPr>
        <w:pStyle w:val="Heading2"/>
      </w:pPr>
      <w:r>
        <w:t>Expected Project Outputs</w:t>
      </w:r>
    </w:p>
    <w:p>
      <w:pPr>
        <w:pStyle w:val="ListBullet"/>
        <w:spacing w:after="40"/>
      </w:pPr>
      <w:r>
        <w:t>Validated dataset and exploratory-analysis outputs.</w:t>
      </w:r>
    </w:p>
    <w:p>
      <w:pPr>
        <w:pStyle w:val="ListBullet"/>
        <w:spacing w:after="40"/>
      </w:pPr>
      <w:r>
        <w:t>Chronological train, validation, and test datasets.</w:t>
      </w:r>
    </w:p>
    <w:p>
      <w:pPr>
        <w:pStyle w:val="ListBullet"/>
        <w:spacing w:after="40"/>
      </w:pPr>
      <w:r>
        <w:t>Trained Gradient Boosting model selected through validation MAE.</w:t>
      </w:r>
    </w:p>
    <w:p>
      <w:pPr>
        <w:pStyle w:val="ListBullet"/>
        <w:spacing w:after="40"/>
      </w:pPr>
      <w:r>
        <w:t>Final test metrics and prediction results.</w:t>
      </w:r>
    </w:p>
    <w:p>
      <w:pPr>
        <w:pStyle w:val="ListBullet"/>
        <w:spacing w:after="40"/>
      </w:pPr>
      <w:r>
        <w:t>Feature-importance and station-error analysis.</w:t>
      </w:r>
    </w:p>
    <w:p>
      <w:pPr>
        <w:pStyle w:val="ListBullet"/>
        <w:spacing w:after="40"/>
      </w:pPr>
      <w:r>
        <w:t>Next-hour station-level forecast.</w:t>
      </w:r>
    </w:p>
    <w:p>
      <w:pPr>
        <w:pStyle w:val="ListBullet"/>
        <w:spacing w:after="40"/>
      </w:pPr>
      <w:r>
        <w:t>Interactive Streamlit dashboard.</w:t>
      </w:r>
    </w:p>
    <w:p>
      <w:pPr>
        <w:pStyle w:val="Heading2"/>
      </w:pPr>
      <w:r>
        <w:t>Final Note</w:t>
      </w:r>
    </w:p>
    <w:p>
      <w:r>
        <w:t>The Streamlit interface is intended for interactive exploration and demonstration, while the submission notebook provides the reproducible academic code workflow. The model results should be interpreted for the supplied dataset and evaluation period.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EV Charging Demand Prediction  |  Deepak Timlapur  |  </w:t>
    </w:r>
    <w:r>
      <w:fldChar w:fldCharType="begin"/>
    </w:r>
    <w:r>
      <w:instrText xml:space="preserve">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