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BCFEB" w14:textId="77777777" w:rsidR="005F27C0" w:rsidRPr="005F27C0" w:rsidRDefault="005F27C0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 w:rsidRPr="005F27C0"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1. Purpose</w:t>
      </w:r>
    </w:p>
    <w:p w14:paraId="2AF44DCD" w14:textId="5506ACAE" w:rsidR="005F27C0" w:rsidRDefault="005F27C0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The purpose of this document is to define the scope of the Information Security Management System (ISMS) for </w:t>
      </w:r>
      <w:r w:rsidRPr="005F27C0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Jupiter Federal Bank</w:t>
      </w:r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>. The ISMS is established to ensure the confidentiality, integrity, and availability of information assets and to meet regulatory, legal, and business requirements.</w:t>
      </w:r>
    </w:p>
    <w:p w14:paraId="7C1B6A78" w14:textId="77777777" w:rsidR="004467ED" w:rsidRPr="005F27C0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</w:p>
    <w:p w14:paraId="79598CBB" w14:textId="77777777" w:rsidR="005F27C0" w:rsidRPr="005F27C0" w:rsidRDefault="005F27C0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 w:rsidRPr="005F27C0"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2. Organization Overview</w:t>
      </w:r>
    </w:p>
    <w:p w14:paraId="7B78EB46" w14:textId="77777777" w:rsidR="005F27C0" w:rsidRPr="005F27C0" w:rsidRDefault="005F27C0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>Jupiter Federal Bank is a digital banking and financial services organization providing:</w:t>
      </w:r>
    </w:p>
    <w:p w14:paraId="68E6DAAF" w14:textId="77777777" w:rsidR="005F27C0" w:rsidRPr="004732E1" w:rsidRDefault="005F27C0" w:rsidP="004732E1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732E1">
        <w:rPr>
          <w:rFonts w:eastAsia="Times New Roman" w:cstheme="minorHAnsi"/>
          <w:color w:val="222222"/>
          <w:sz w:val="24"/>
          <w:szCs w:val="24"/>
          <w:lang w:eastAsia="en-IN"/>
        </w:rPr>
        <w:t>Online banking services</w:t>
      </w:r>
    </w:p>
    <w:p w14:paraId="7B6047F5" w14:textId="77777777" w:rsidR="005F27C0" w:rsidRPr="004732E1" w:rsidRDefault="005F27C0" w:rsidP="004732E1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732E1">
        <w:rPr>
          <w:rFonts w:eastAsia="Times New Roman" w:cstheme="minorHAnsi"/>
          <w:color w:val="222222"/>
          <w:sz w:val="24"/>
          <w:szCs w:val="24"/>
          <w:lang w:eastAsia="en-IN"/>
        </w:rPr>
        <w:t>Mobile banking applications</w:t>
      </w:r>
    </w:p>
    <w:p w14:paraId="37B580C9" w14:textId="77777777" w:rsidR="005F27C0" w:rsidRPr="004732E1" w:rsidRDefault="005F27C0" w:rsidP="004732E1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732E1">
        <w:rPr>
          <w:rFonts w:eastAsia="Times New Roman" w:cstheme="minorHAnsi"/>
          <w:color w:val="222222"/>
          <w:sz w:val="24"/>
          <w:szCs w:val="24"/>
          <w:lang w:eastAsia="en-IN"/>
        </w:rPr>
        <w:t>Loan processing and management</w:t>
      </w:r>
    </w:p>
    <w:p w14:paraId="491A5F62" w14:textId="77777777" w:rsidR="005F27C0" w:rsidRPr="004732E1" w:rsidRDefault="005F27C0" w:rsidP="004732E1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732E1">
        <w:rPr>
          <w:rFonts w:eastAsia="Times New Roman" w:cstheme="minorHAnsi"/>
          <w:color w:val="222222"/>
          <w:sz w:val="24"/>
          <w:szCs w:val="24"/>
          <w:lang w:eastAsia="en-IN"/>
        </w:rPr>
        <w:t>Customer account management</w:t>
      </w:r>
    </w:p>
    <w:p w14:paraId="13CA0D91" w14:textId="77777777" w:rsidR="005F27C0" w:rsidRPr="005F27C0" w:rsidRDefault="005F27C0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>The bank handles sensitive financial and personal data of customers and operates in a highly regulated environment.</w:t>
      </w:r>
    </w:p>
    <w:p w14:paraId="54D57D14" w14:textId="77777777" w:rsidR="004467ED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</w:p>
    <w:p w14:paraId="49773AC8" w14:textId="42D086F0" w:rsidR="005F27C0" w:rsidRPr="005F27C0" w:rsidRDefault="005F27C0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 w:rsidRPr="005F27C0"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3. Scope Statement</w:t>
      </w:r>
    </w:p>
    <w:p w14:paraId="7E16F2F4" w14:textId="77777777" w:rsidR="005F27C0" w:rsidRPr="005F27C0" w:rsidRDefault="005F27C0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The ISMS of Jupiter Federal Bank </w:t>
      </w:r>
      <w:proofErr w:type="gramStart"/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>covers</w:t>
      </w:r>
      <w:proofErr w:type="gramEnd"/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all </w:t>
      </w:r>
      <w:r w:rsidRPr="005F27C0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information assets, systems, processes, and personnel</w:t>
      </w:r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involved in the delivery and management of digital banking services.</w:t>
      </w:r>
    </w:p>
    <w:p w14:paraId="517374D9" w14:textId="77777777" w:rsidR="005F27C0" w:rsidRPr="005F27C0" w:rsidRDefault="005F27C0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>This includes:</w:t>
      </w:r>
    </w:p>
    <w:p w14:paraId="55568C90" w14:textId="77777777" w:rsidR="005F27C0" w:rsidRPr="004732E1" w:rsidRDefault="005F27C0" w:rsidP="004732E1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732E1">
        <w:rPr>
          <w:rFonts w:eastAsia="Times New Roman" w:cstheme="minorHAnsi"/>
          <w:color w:val="222222"/>
          <w:sz w:val="24"/>
          <w:szCs w:val="24"/>
          <w:lang w:eastAsia="en-IN"/>
        </w:rPr>
        <w:t>Customer data processing and storage</w:t>
      </w:r>
    </w:p>
    <w:p w14:paraId="745B4115" w14:textId="77777777" w:rsidR="005F27C0" w:rsidRPr="004732E1" w:rsidRDefault="005F27C0" w:rsidP="004732E1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732E1">
        <w:rPr>
          <w:rFonts w:eastAsia="Times New Roman" w:cstheme="minorHAnsi"/>
          <w:color w:val="222222"/>
          <w:sz w:val="24"/>
          <w:szCs w:val="24"/>
          <w:lang w:eastAsia="en-IN"/>
        </w:rPr>
        <w:t>Online and mobile banking platforms</w:t>
      </w:r>
    </w:p>
    <w:p w14:paraId="6BDCBB7C" w14:textId="77777777" w:rsidR="005F27C0" w:rsidRPr="004732E1" w:rsidRDefault="005F27C0" w:rsidP="004732E1">
      <w:pPr>
        <w:pStyle w:val="ListParagraph"/>
        <w:numPr>
          <w:ilvl w:val="0"/>
          <w:numId w:val="4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732E1">
        <w:rPr>
          <w:rFonts w:eastAsia="Times New Roman" w:cstheme="minorHAnsi"/>
          <w:color w:val="222222"/>
          <w:sz w:val="24"/>
          <w:szCs w:val="24"/>
          <w:lang w:eastAsia="en-IN"/>
        </w:rPr>
        <w:t>Internal IT infrastructure supporting banking operations</w:t>
      </w:r>
    </w:p>
    <w:p w14:paraId="0E1183CE" w14:textId="77777777" w:rsidR="005F27C0" w:rsidRPr="005F27C0" w:rsidRDefault="005F27C0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>The scope is defined considering internal and external issues, regulatory requirements, and dependencies on third-party service providers.</w:t>
      </w:r>
    </w:p>
    <w:p w14:paraId="464FB336" w14:textId="77777777" w:rsidR="004467ED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</w:p>
    <w:p w14:paraId="06189CA7" w14:textId="77777777" w:rsidR="004467ED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3.1</w:t>
      </w:r>
      <w:r w:rsidR="005F27C0" w:rsidRPr="005F27C0"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. In-Scope Assets and Processes</w:t>
      </w:r>
    </w:p>
    <w:p w14:paraId="265507A7" w14:textId="555F396D" w:rsidR="005F27C0" w:rsidRPr="005F27C0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 xml:space="preserve">a)  </w:t>
      </w:r>
      <w:r w:rsidR="005F27C0" w:rsidRPr="005F27C0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Information Assets</w:t>
      </w:r>
    </w:p>
    <w:p w14:paraId="27135987" w14:textId="77777777" w:rsidR="005F27C0" w:rsidRPr="007A5AC3" w:rsidRDefault="005F27C0" w:rsidP="007A5AC3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Customer personal and financial data</w:t>
      </w:r>
    </w:p>
    <w:p w14:paraId="2C5E4AF0" w14:textId="77777777" w:rsidR="005F27C0" w:rsidRPr="007A5AC3" w:rsidRDefault="005F27C0" w:rsidP="007A5AC3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Transaction records</w:t>
      </w:r>
    </w:p>
    <w:p w14:paraId="386DAA30" w14:textId="77777777" w:rsidR="005F27C0" w:rsidRPr="007A5AC3" w:rsidRDefault="005F27C0" w:rsidP="007A5AC3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Internal business data</w:t>
      </w:r>
    </w:p>
    <w:p w14:paraId="6226B479" w14:textId="3EF31A8B" w:rsidR="005F27C0" w:rsidRPr="005F27C0" w:rsidRDefault="007A5AC3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lastRenderedPageBreak/>
        <w:t xml:space="preserve">b)  </w:t>
      </w:r>
      <w:r w:rsidR="005F27C0" w:rsidRPr="005F27C0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Systems &amp; Applications</w:t>
      </w:r>
    </w:p>
    <w:p w14:paraId="01E67947" w14:textId="77777777" w:rsidR="005F27C0" w:rsidRPr="007A5AC3" w:rsidRDefault="005F27C0" w:rsidP="007A5AC3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Core banking system</w:t>
      </w:r>
    </w:p>
    <w:p w14:paraId="01C73AD1" w14:textId="77777777" w:rsidR="005F27C0" w:rsidRPr="007A5AC3" w:rsidRDefault="005F27C0" w:rsidP="007A5AC3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Mobile banking application</w:t>
      </w:r>
    </w:p>
    <w:p w14:paraId="4B9D6CA9" w14:textId="77777777" w:rsidR="007A5AC3" w:rsidRPr="007A5AC3" w:rsidRDefault="005F27C0" w:rsidP="007A5AC3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Internet banking portal</w:t>
      </w:r>
    </w:p>
    <w:p w14:paraId="41031686" w14:textId="4D51DFA6" w:rsidR="005F27C0" w:rsidRPr="007A5AC3" w:rsidRDefault="007A5AC3" w:rsidP="007A5AC3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c)</w:t>
      </w: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 xml:space="preserve"> i</w:t>
      </w:r>
      <w:r w:rsidR="005F27C0" w:rsidRPr="007A5AC3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nfrastructure</w:t>
      </w:r>
    </w:p>
    <w:p w14:paraId="2E83EBFF" w14:textId="77777777" w:rsidR="005F27C0" w:rsidRPr="007A5AC3" w:rsidRDefault="005F27C0" w:rsidP="007A5AC3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Cloud infrastructure (e.g., AWS)</w:t>
      </w:r>
    </w:p>
    <w:p w14:paraId="16015CE5" w14:textId="77777777" w:rsidR="005F27C0" w:rsidRPr="007A5AC3" w:rsidRDefault="005F27C0" w:rsidP="007A5AC3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Application servers</w:t>
      </w:r>
    </w:p>
    <w:p w14:paraId="2B8C76A1" w14:textId="12835D30" w:rsidR="007A5AC3" w:rsidRPr="007A5AC3" w:rsidRDefault="005F27C0" w:rsidP="007A5AC3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Databases</w:t>
      </w:r>
    </w:p>
    <w:p w14:paraId="661190C7" w14:textId="3E7BB99C" w:rsidR="005F27C0" w:rsidRPr="005F27C0" w:rsidRDefault="007A5AC3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d)</w:t>
      </w:r>
      <w:r>
        <w:rPr>
          <w:rFonts w:eastAsia="Times New Roman" w:cstheme="minorHAnsi"/>
          <w:color w:val="222222"/>
          <w:sz w:val="24"/>
          <w:szCs w:val="24"/>
          <w:lang w:eastAsia="en-IN"/>
        </w:rPr>
        <w:t xml:space="preserve">  </w:t>
      </w:r>
      <w:r w:rsidR="005F27C0" w:rsidRPr="005F27C0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People</w:t>
      </w:r>
    </w:p>
    <w:p w14:paraId="4AEC06B2" w14:textId="77777777" w:rsidR="005F27C0" w:rsidRPr="007A5AC3" w:rsidRDefault="005F27C0" w:rsidP="007A5AC3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Employees</w:t>
      </w:r>
    </w:p>
    <w:p w14:paraId="5BC9C3C9" w14:textId="77777777" w:rsidR="005F27C0" w:rsidRPr="007A5AC3" w:rsidRDefault="005F27C0" w:rsidP="007A5AC3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IT administrators</w:t>
      </w:r>
    </w:p>
    <w:p w14:paraId="6FBE06BC" w14:textId="6815419F" w:rsidR="007A5AC3" w:rsidRPr="007A5AC3" w:rsidRDefault="005F27C0" w:rsidP="007A5AC3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Security team</w:t>
      </w:r>
    </w:p>
    <w:p w14:paraId="62D1E4DA" w14:textId="1C19A291" w:rsidR="005F27C0" w:rsidRPr="007A5AC3" w:rsidRDefault="007A5AC3" w:rsidP="007A5AC3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e)</w:t>
      </w:r>
      <w:r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 xml:space="preserve"> </w:t>
      </w:r>
      <w:r w:rsidR="005F27C0" w:rsidRPr="007A5AC3"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  <w:t>Processes</w:t>
      </w:r>
    </w:p>
    <w:p w14:paraId="2945737C" w14:textId="77777777" w:rsidR="005F27C0" w:rsidRPr="007A5AC3" w:rsidRDefault="005F27C0" w:rsidP="007A5AC3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Customer onboarding</w:t>
      </w:r>
    </w:p>
    <w:p w14:paraId="686C324A" w14:textId="77777777" w:rsidR="005F27C0" w:rsidRPr="007A5AC3" w:rsidRDefault="005F27C0" w:rsidP="007A5AC3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Transaction processing</w:t>
      </w:r>
    </w:p>
    <w:p w14:paraId="19D21D59" w14:textId="77777777" w:rsidR="005F27C0" w:rsidRPr="007A5AC3" w:rsidRDefault="005F27C0" w:rsidP="007A5AC3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Loan management</w:t>
      </w:r>
    </w:p>
    <w:p w14:paraId="2CBC985B" w14:textId="30A5660A" w:rsidR="005F27C0" w:rsidRPr="007A5AC3" w:rsidRDefault="005F27C0" w:rsidP="007A5AC3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IT operations and support</w:t>
      </w:r>
    </w:p>
    <w:p w14:paraId="54485BA2" w14:textId="77777777" w:rsidR="004732E1" w:rsidRPr="005F27C0" w:rsidRDefault="004732E1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5A2D974D" w14:textId="1466FA24" w:rsidR="005F27C0" w:rsidRPr="005F27C0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3.2</w:t>
      </w:r>
      <w:r w:rsidR="005F27C0" w:rsidRPr="005F27C0"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. Out-of-Scope Items</w:t>
      </w:r>
    </w:p>
    <w:p w14:paraId="22124050" w14:textId="77777777" w:rsidR="005F27C0" w:rsidRPr="005F27C0" w:rsidRDefault="005F27C0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>The following are excluded from the ISMS scope:</w:t>
      </w:r>
    </w:p>
    <w:p w14:paraId="313A00A6" w14:textId="77777777" w:rsidR="005F27C0" w:rsidRPr="007A5AC3" w:rsidRDefault="005F27C0" w:rsidP="007A5AC3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Physical security controls of branch office premises</w:t>
      </w:r>
    </w:p>
    <w:p w14:paraId="1937B401" w14:textId="77777777" w:rsidR="005F27C0" w:rsidRPr="007A5AC3" w:rsidRDefault="005F27C0" w:rsidP="007A5AC3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Third-party systems not directly managed or controlled by Jupiter Federal Bank</w:t>
      </w:r>
    </w:p>
    <w:p w14:paraId="090139B9" w14:textId="7E6C7BC8" w:rsidR="005F27C0" w:rsidRPr="007A5AC3" w:rsidRDefault="005F27C0" w:rsidP="007A5AC3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Personal devices not connected to the organization’s network</w:t>
      </w:r>
    </w:p>
    <w:p w14:paraId="22D59BDF" w14:textId="77777777" w:rsidR="004467ED" w:rsidRPr="005F27C0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0F1019E5" w14:textId="31B6DB00" w:rsidR="005F27C0" w:rsidRPr="005F27C0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4</w:t>
      </w:r>
      <w:r w:rsidR="005F27C0" w:rsidRPr="005F27C0"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. Locations Covered</w:t>
      </w:r>
    </w:p>
    <w:p w14:paraId="77BE15B1" w14:textId="77777777" w:rsidR="005F27C0" w:rsidRPr="007A5AC3" w:rsidRDefault="005F27C0" w:rsidP="007A5AC3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Head Office – Bangalore, India</w:t>
      </w:r>
    </w:p>
    <w:p w14:paraId="52532DA5" w14:textId="77C9895C" w:rsidR="005F27C0" w:rsidRPr="007A5AC3" w:rsidRDefault="005F27C0" w:rsidP="007A5AC3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 xml:space="preserve">Cloud Hosting Environment – AWS Data </w:t>
      </w:r>
      <w:proofErr w:type="spellStart"/>
      <w:r w:rsidRPr="007A5AC3">
        <w:rPr>
          <w:rFonts w:eastAsia="Times New Roman" w:cstheme="minorHAnsi"/>
          <w:color w:val="222222"/>
          <w:sz w:val="24"/>
          <w:szCs w:val="24"/>
          <w:lang w:eastAsia="en-IN"/>
        </w:rPr>
        <w:t>Centers</w:t>
      </w:r>
      <w:proofErr w:type="spellEnd"/>
    </w:p>
    <w:p w14:paraId="09A775FA" w14:textId="77777777" w:rsidR="004467ED" w:rsidRPr="005F27C0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5C0B0701" w14:textId="430160C7" w:rsidR="005F27C0" w:rsidRPr="005F27C0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5</w:t>
      </w:r>
      <w:r w:rsidR="005F27C0" w:rsidRPr="005F27C0"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. Interested Parties</w:t>
      </w:r>
    </w:p>
    <w:p w14:paraId="0F9F2BD8" w14:textId="06EE6AD1" w:rsidR="005F27C0" w:rsidRDefault="005F27C0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>The ISMS considers the requirements of the following interested parties: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4467ED" w14:paraId="769A0D9C" w14:textId="77777777" w:rsidTr="004467ED">
        <w:tc>
          <w:tcPr>
            <w:tcW w:w="3505" w:type="dxa"/>
          </w:tcPr>
          <w:p w14:paraId="1C8069CE" w14:textId="308381D8" w:rsidR="004467ED" w:rsidRDefault="004467ED" w:rsidP="004732E1">
            <w:pPr>
              <w:spacing w:line="360" w:lineRule="auto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  <w:r w:rsidRPr="005F27C0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eastAsia="en-IN"/>
              </w:rPr>
              <w:lastRenderedPageBreak/>
              <w:t>Interested Party</w:t>
            </w:r>
            <w:r w:rsidRPr="004467ED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eastAsia="en-IN"/>
              </w:rPr>
              <w:tab/>
            </w:r>
          </w:p>
        </w:tc>
        <w:tc>
          <w:tcPr>
            <w:tcW w:w="5511" w:type="dxa"/>
          </w:tcPr>
          <w:p w14:paraId="0567B511" w14:textId="60644725" w:rsidR="004467ED" w:rsidRDefault="004467ED" w:rsidP="004732E1">
            <w:pPr>
              <w:spacing w:line="360" w:lineRule="auto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  <w:r w:rsidRPr="005F27C0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eastAsia="en-IN"/>
              </w:rPr>
              <w:t>Requirement</w:t>
            </w:r>
          </w:p>
        </w:tc>
      </w:tr>
      <w:tr w:rsidR="004467ED" w14:paraId="0FEBC9D0" w14:textId="77777777" w:rsidTr="004467ED">
        <w:tc>
          <w:tcPr>
            <w:tcW w:w="3505" w:type="dxa"/>
          </w:tcPr>
          <w:p w14:paraId="0F0921F8" w14:textId="7E2F6D9E" w:rsidR="004467ED" w:rsidRDefault="004467ED" w:rsidP="004732E1">
            <w:pPr>
              <w:spacing w:line="360" w:lineRule="auto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  <w:r w:rsidRPr="005F27C0"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5511" w:type="dxa"/>
          </w:tcPr>
          <w:p w14:paraId="6C68EA27" w14:textId="49DF9D4F" w:rsidR="004467ED" w:rsidRDefault="004467ED" w:rsidP="004467ED">
            <w:pPr>
              <w:shd w:val="clear" w:color="auto" w:fill="FFFFFF"/>
              <w:spacing w:line="360" w:lineRule="auto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  <w:r w:rsidRPr="005F27C0"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  <w:t>Protection of personal and financial data</w:t>
            </w:r>
          </w:p>
        </w:tc>
      </w:tr>
      <w:tr w:rsidR="004467ED" w14:paraId="5C5B4E6D" w14:textId="77777777" w:rsidTr="004467ED">
        <w:tc>
          <w:tcPr>
            <w:tcW w:w="3505" w:type="dxa"/>
          </w:tcPr>
          <w:p w14:paraId="63A9FCEA" w14:textId="770F4642" w:rsidR="004467ED" w:rsidRDefault="004467ED" w:rsidP="004732E1">
            <w:pPr>
              <w:spacing w:line="360" w:lineRule="auto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  <w:r w:rsidRPr="005F27C0"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  <w:t>RBI</w:t>
            </w:r>
          </w:p>
        </w:tc>
        <w:tc>
          <w:tcPr>
            <w:tcW w:w="5511" w:type="dxa"/>
          </w:tcPr>
          <w:p w14:paraId="0B587A5F" w14:textId="35EFDFB6" w:rsidR="004467ED" w:rsidRDefault="004467ED" w:rsidP="004467ED">
            <w:pPr>
              <w:shd w:val="clear" w:color="auto" w:fill="FFFFFF"/>
              <w:spacing w:line="360" w:lineRule="auto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  <w:r w:rsidRPr="005F27C0"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  <w:t>Compliance with banking and security regulations</w:t>
            </w:r>
          </w:p>
        </w:tc>
      </w:tr>
      <w:tr w:rsidR="004467ED" w14:paraId="52862F33" w14:textId="77777777" w:rsidTr="004467ED">
        <w:tc>
          <w:tcPr>
            <w:tcW w:w="3505" w:type="dxa"/>
          </w:tcPr>
          <w:p w14:paraId="35DC831D" w14:textId="103B0927" w:rsidR="004467ED" w:rsidRDefault="004467ED" w:rsidP="004732E1">
            <w:pPr>
              <w:spacing w:line="360" w:lineRule="auto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  <w:r w:rsidRPr="005F27C0"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  <w:t>Employees</w:t>
            </w:r>
          </w:p>
        </w:tc>
        <w:tc>
          <w:tcPr>
            <w:tcW w:w="5511" w:type="dxa"/>
          </w:tcPr>
          <w:p w14:paraId="679ECF5E" w14:textId="238DDCBA" w:rsidR="004467ED" w:rsidRDefault="004467ED" w:rsidP="004467ED">
            <w:pPr>
              <w:shd w:val="clear" w:color="auto" w:fill="FFFFFF"/>
              <w:spacing w:line="360" w:lineRule="auto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  <w:r w:rsidRPr="005F27C0"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  <w:t>Secure and reliable systems</w:t>
            </w:r>
          </w:p>
        </w:tc>
      </w:tr>
      <w:tr w:rsidR="004467ED" w14:paraId="0A3FA399" w14:textId="77777777" w:rsidTr="004467ED">
        <w:tc>
          <w:tcPr>
            <w:tcW w:w="3505" w:type="dxa"/>
          </w:tcPr>
          <w:p w14:paraId="00CDA082" w14:textId="02329C30" w:rsidR="004467ED" w:rsidRDefault="004467ED" w:rsidP="004732E1">
            <w:pPr>
              <w:spacing w:line="360" w:lineRule="auto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  <w:r w:rsidRPr="005F27C0"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  <w:t>Vendors</w:t>
            </w:r>
          </w:p>
        </w:tc>
        <w:tc>
          <w:tcPr>
            <w:tcW w:w="5511" w:type="dxa"/>
          </w:tcPr>
          <w:p w14:paraId="6B933AB2" w14:textId="05DCFAAF" w:rsidR="004467ED" w:rsidRDefault="004467ED" w:rsidP="004467ED">
            <w:pPr>
              <w:shd w:val="clear" w:color="auto" w:fill="FFFFFF"/>
              <w:spacing w:line="360" w:lineRule="auto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  <w:r w:rsidRPr="005F27C0"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  <w:t>Secure integration and data exchange</w:t>
            </w:r>
          </w:p>
        </w:tc>
      </w:tr>
    </w:tbl>
    <w:p w14:paraId="40BC0094" w14:textId="77777777" w:rsidR="004467ED" w:rsidRPr="005F27C0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</w:p>
    <w:p w14:paraId="6861AAF3" w14:textId="11A3E848" w:rsidR="005F27C0" w:rsidRPr="005F27C0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6</w:t>
      </w:r>
      <w:r w:rsidR="005F27C0" w:rsidRPr="005F27C0"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. Interfaces and Dependencies</w:t>
      </w:r>
    </w:p>
    <w:p w14:paraId="05E80FF0" w14:textId="77777777" w:rsidR="005F27C0" w:rsidRPr="004467ED" w:rsidRDefault="005F27C0" w:rsidP="004467ED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467ED">
        <w:rPr>
          <w:rFonts w:eastAsia="Times New Roman" w:cstheme="minorHAnsi"/>
          <w:color w:val="222222"/>
          <w:sz w:val="24"/>
          <w:szCs w:val="24"/>
          <w:lang w:eastAsia="en-IN"/>
        </w:rPr>
        <w:t>The ISMS includes dependencies on:</w:t>
      </w:r>
    </w:p>
    <w:p w14:paraId="32B80DA1" w14:textId="77777777" w:rsidR="005F27C0" w:rsidRPr="004467ED" w:rsidRDefault="005F27C0" w:rsidP="004467ED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467ED">
        <w:rPr>
          <w:rFonts w:eastAsia="Times New Roman" w:cstheme="minorHAnsi"/>
          <w:color w:val="222222"/>
          <w:sz w:val="24"/>
          <w:szCs w:val="24"/>
          <w:lang w:eastAsia="en-IN"/>
        </w:rPr>
        <w:t>Cloud service providers (AWS)</w:t>
      </w:r>
    </w:p>
    <w:p w14:paraId="59EFB01B" w14:textId="77777777" w:rsidR="005F27C0" w:rsidRPr="004467ED" w:rsidRDefault="005F27C0" w:rsidP="004467ED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467ED">
        <w:rPr>
          <w:rFonts w:eastAsia="Times New Roman" w:cstheme="minorHAnsi"/>
          <w:color w:val="222222"/>
          <w:sz w:val="24"/>
          <w:szCs w:val="24"/>
          <w:lang w:eastAsia="en-IN"/>
        </w:rPr>
        <w:t>Payment gateways</w:t>
      </w:r>
    </w:p>
    <w:p w14:paraId="5B43D4BF" w14:textId="77777777" w:rsidR="005F27C0" w:rsidRPr="004467ED" w:rsidRDefault="005F27C0" w:rsidP="004467ED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467ED">
        <w:rPr>
          <w:rFonts w:eastAsia="Times New Roman" w:cstheme="minorHAnsi"/>
          <w:color w:val="222222"/>
          <w:sz w:val="24"/>
          <w:szCs w:val="24"/>
          <w:lang w:eastAsia="en-IN"/>
        </w:rPr>
        <w:t>Third-party vendors supporting banking operations</w:t>
      </w:r>
    </w:p>
    <w:p w14:paraId="54459487" w14:textId="77777777" w:rsidR="005F27C0" w:rsidRPr="005F27C0" w:rsidRDefault="005F27C0" w:rsidP="004732E1">
      <w:p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5F27C0">
        <w:rPr>
          <w:rFonts w:eastAsia="Times New Roman" w:cstheme="minorHAnsi"/>
          <w:color w:val="222222"/>
          <w:sz w:val="24"/>
          <w:szCs w:val="24"/>
          <w:lang w:eastAsia="en-IN"/>
        </w:rPr>
        <w:t>Appropriate security controls are implemented to manage risks arising from these dependencies.</w:t>
      </w:r>
    </w:p>
    <w:p w14:paraId="0C5FE386" w14:textId="64D296E6" w:rsidR="005F27C0" w:rsidRPr="005F27C0" w:rsidRDefault="004467ED" w:rsidP="004732E1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7</w:t>
      </w:r>
      <w:r w:rsidR="005F27C0" w:rsidRPr="005F27C0">
        <w:rPr>
          <w:rFonts w:eastAsia="Times New Roman" w:cstheme="minorHAnsi"/>
          <w:b/>
          <w:bCs/>
          <w:color w:val="222222"/>
          <w:sz w:val="28"/>
          <w:szCs w:val="28"/>
          <w:lang w:eastAsia="en-IN"/>
        </w:rPr>
        <w:t>. Assumptions and Constraints</w:t>
      </w:r>
    </w:p>
    <w:p w14:paraId="55A85568" w14:textId="77777777" w:rsidR="005F27C0" w:rsidRPr="004467ED" w:rsidRDefault="005F27C0" w:rsidP="004467ED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467ED">
        <w:rPr>
          <w:rFonts w:eastAsia="Times New Roman" w:cstheme="minorHAnsi"/>
          <w:color w:val="222222"/>
          <w:sz w:val="24"/>
          <w:szCs w:val="24"/>
          <w:lang w:eastAsia="en-IN"/>
        </w:rPr>
        <w:t>The organization relies on cloud infrastructure for scalability and availability</w:t>
      </w:r>
    </w:p>
    <w:p w14:paraId="35E16CCB" w14:textId="77777777" w:rsidR="005F27C0" w:rsidRPr="004467ED" w:rsidRDefault="005F27C0" w:rsidP="004467ED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467ED">
        <w:rPr>
          <w:rFonts w:eastAsia="Times New Roman" w:cstheme="minorHAnsi"/>
          <w:color w:val="222222"/>
          <w:sz w:val="24"/>
          <w:szCs w:val="24"/>
          <w:lang w:eastAsia="en-IN"/>
        </w:rPr>
        <w:t>Regulatory compliance is mandatory and continuously evolving</w:t>
      </w:r>
    </w:p>
    <w:p w14:paraId="3AFE865E" w14:textId="6EC0ED95" w:rsidR="005F27C0" w:rsidRPr="004467ED" w:rsidRDefault="005F27C0" w:rsidP="004467ED">
      <w:pPr>
        <w:pStyle w:val="ListParagraph"/>
        <w:numPr>
          <w:ilvl w:val="0"/>
          <w:numId w:val="6"/>
        </w:numPr>
        <w:shd w:val="clear" w:color="auto" w:fill="FFFFFF"/>
        <w:spacing w:after="0" w:line="36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4467ED">
        <w:rPr>
          <w:rFonts w:eastAsia="Times New Roman" w:cstheme="minorHAnsi"/>
          <w:color w:val="222222"/>
          <w:sz w:val="24"/>
          <w:szCs w:val="24"/>
          <w:lang w:eastAsia="en-IN"/>
        </w:rPr>
        <w:t>Cybersecurity threats are increasing and require ongoing risk management</w:t>
      </w:r>
    </w:p>
    <w:p w14:paraId="49F36C84" w14:textId="03F9B379" w:rsidR="002E0D0E" w:rsidRPr="005F27C0" w:rsidRDefault="002E0D0E" w:rsidP="004732E1">
      <w:pPr>
        <w:spacing w:line="360" w:lineRule="auto"/>
        <w:rPr>
          <w:rFonts w:cstheme="minorHAnsi"/>
          <w:sz w:val="24"/>
          <w:szCs w:val="24"/>
        </w:rPr>
      </w:pPr>
    </w:p>
    <w:sectPr w:rsidR="002E0D0E" w:rsidRPr="005F27C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A0C54" w14:textId="77777777" w:rsidR="009F5AB4" w:rsidRDefault="009F5AB4" w:rsidP="009F5AB4">
      <w:pPr>
        <w:spacing w:after="0" w:line="240" w:lineRule="auto"/>
      </w:pPr>
      <w:r>
        <w:separator/>
      </w:r>
    </w:p>
  </w:endnote>
  <w:endnote w:type="continuationSeparator" w:id="0">
    <w:p w14:paraId="62279CAD" w14:textId="77777777" w:rsidR="009F5AB4" w:rsidRDefault="009F5AB4" w:rsidP="009F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61A1D" w14:textId="77777777" w:rsidR="009F5AB4" w:rsidRDefault="009F5AB4" w:rsidP="009F5AB4">
      <w:pPr>
        <w:spacing w:after="0" w:line="240" w:lineRule="auto"/>
      </w:pPr>
      <w:r>
        <w:separator/>
      </w:r>
    </w:p>
  </w:footnote>
  <w:footnote w:type="continuationSeparator" w:id="0">
    <w:p w14:paraId="224E4374" w14:textId="77777777" w:rsidR="009F5AB4" w:rsidRDefault="009F5AB4" w:rsidP="009F5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F8DE6" w14:textId="77777777" w:rsidR="009F5AB4" w:rsidRPr="00B92BA8" w:rsidRDefault="009F5AB4" w:rsidP="009F5AB4">
    <w:pPr>
      <w:shd w:val="clear" w:color="auto" w:fill="FFFFFF"/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222222"/>
        <w:sz w:val="40"/>
        <w:szCs w:val="40"/>
        <w:lang w:eastAsia="en-IN"/>
      </w:rPr>
    </w:pPr>
    <w:r w:rsidRPr="004467ED">
      <w:rPr>
        <w:rFonts w:ascii="Times New Roman" w:eastAsia="Times New Roman" w:hAnsi="Times New Roman" w:cs="Times New Roman"/>
        <w:b/>
        <w:bCs/>
        <w:noProof/>
        <w:color w:val="222222"/>
        <w:sz w:val="40"/>
        <w:szCs w:val="40"/>
        <w:lang w:eastAsia="en-IN"/>
      </w:rPr>
      <mc:AlternateContent>
        <mc:Choice Requires="wps">
          <w:drawing>
            <wp:inline distT="0" distB="0" distL="0" distR="0" wp14:anchorId="1C139B54" wp14:editId="373AB936">
              <wp:extent cx="300355" cy="300355"/>
              <wp:effectExtent l="0" t="0" r="0" b="0"/>
              <wp:docPr id="6" name="Rectangle 6" descr="📄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0355" cy="300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C14D13" id="Rectangle 6" o:spid="_x0000_s1026" alt="📄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" filled="f" stroked="f">
              <o:lock v:ext="edit" aspectratio="t"/>
              <w10:anchorlock/>
            </v:rect>
          </w:pict>
        </mc:Fallback>
      </mc:AlternateContent>
    </w:r>
    <w:r w:rsidRPr="00B92BA8">
      <w:rPr>
        <w:rFonts w:ascii="Times New Roman" w:eastAsia="Times New Roman" w:hAnsi="Times New Roman" w:cs="Times New Roman"/>
        <w:b/>
        <w:bCs/>
        <w:color w:val="222222"/>
        <w:sz w:val="40"/>
        <w:szCs w:val="40"/>
        <w:lang w:eastAsia="en-IN"/>
      </w:rPr>
      <w:t>ISMS SCOPE DOCUMENT</w:t>
    </w:r>
  </w:p>
  <w:p w14:paraId="612EC2CA" w14:textId="77777777" w:rsidR="009F5AB4" w:rsidRPr="004467ED" w:rsidRDefault="009F5AB4">
    <w:pPr>
      <w:pStyle w:val="Header"/>
      <w:rPr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12C"/>
    <w:multiLevelType w:val="hybridMultilevel"/>
    <w:tmpl w:val="0A0CF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40FB8"/>
    <w:multiLevelType w:val="hybridMultilevel"/>
    <w:tmpl w:val="5D420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318A9"/>
    <w:multiLevelType w:val="hybridMultilevel"/>
    <w:tmpl w:val="9078B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B4F45"/>
    <w:multiLevelType w:val="hybridMultilevel"/>
    <w:tmpl w:val="91FE2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60F05"/>
    <w:multiLevelType w:val="hybridMultilevel"/>
    <w:tmpl w:val="AA560FA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C2F44"/>
    <w:multiLevelType w:val="hybridMultilevel"/>
    <w:tmpl w:val="2562A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F0F82"/>
    <w:multiLevelType w:val="hybridMultilevel"/>
    <w:tmpl w:val="5254D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C5F5C"/>
    <w:multiLevelType w:val="hybridMultilevel"/>
    <w:tmpl w:val="218C6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91EE9"/>
    <w:multiLevelType w:val="multilevel"/>
    <w:tmpl w:val="8E2CCECE"/>
    <w:styleLink w:val="CurrentList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9B1D0E"/>
    <w:multiLevelType w:val="hybridMultilevel"/>
    <w:tmpl w:val="8E2CCEC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74F43"/>
    <w:multiLevelType w:val="hybridMultilevel"/>
    <w:tmpl w:val="FD228FC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6851A6"/>
    <w:multiLevelType w:val="hybridMultilevel"/>
    <w:tmpl w:val="718095C0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FD1C5E"/>
    <w:multiLevelType w:val="hybridMultilevel"/>
    <w:tmpl w:val="F4C6E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847EE"/>
    <w:multiLevelType w:val="hybridMultilevel"/>
    <w:tmpl w:val="6630B9E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EF77E2"/>
    <w:multiLevelType w:val="hybridMultilevel"/>
    <w:tmpl w:val="F01CF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0C2D9D"/>
    <w:multiLevelType w:val="hybridMultilevel"/>
    <w:tmpl w:val="983A66E8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C67D5"/>
    <w:multiLevelType w:val="hybridMultilevel"/>
    <w:tmpl w:val="BB9A7E26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2B1BF5"/>
    <w:multiLevelType w:val="hybridMultilevel"/>
    <w:tmpl w:val="7D685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4"/>
  </w:num>
  <w:num w:numId="4">
    <w:abstractNumId w:val="9"/>
  </w:num>
  <w:num w:numId="5">
    <w:abstractNumId w:val="3"/>
  </w:num>
  <w:num w:numId="6">
    <w:abstractNumId w:val="1"/>
  </w:num>
  <w:num w:numId="7">
    <w:abstractNumId w:val="11"/>
  </w:num>
  <w:num w:numId="8">
    <w:abstractNumId w:val="15"/>
  </w:num>
  <w:num w:numId="9">
    <w:abstractNumId w:val="8"/>
  </w:num>
  <w:num w:numId="10">
    <w:abstractNumId w:val="16"/>
  </w:num>
  <w:num w:numId="11">
    <w:abstractNumId w:val="12"/>
  </w:num>
  <w:num w:numId="12">
    <w:abstractNumId w:val="6"/>
  </w:num>
  <w:num w:numId="13">
    <w:abstractNumId w:val="17"/>
  </w:num>
  <w:num w:numId="14">
    <w:abstractNumId w:val="0"/>
  </w:num>
  <w:num w:numId="15">
    <w:abstractNumId w:val="5"/>
  </w:num>
  <w:num w:numId="16">
    <w:abstractNumId w:val="2"/>
  </w:num>
  <w:num w:numId="17">
    <w:abstractNumId w:val="1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56"/>
    <w:rsid w:val="000E3D93"/>
    <w:rsid w:val="002E0D0E"/>
    <w:rsid w:val="004467ED"/>
    <w:rsid w:val="004732E1"/>
    <w:rsid w:val="004F1D56"/>
    <w:rsid w:val="005F27C0"/>
    <w:rsid w:val="006D673C"/>
    <w:rsid w:val="007A252B"/>
    <w:rsid w:val="007A5AC3"/>
    <w:rsid w:val="009744F4"/>
    <w:rsid w:val="009F5AB4"/>
    <w:rsid w:val="00B92BA8"/>
    <w:rsid w:val="00E6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B729"/>
  <w15:chartTrackingRefBased/>
  <w15:docId w15:val="{126C8636-B6A6-4A3C-B35E-022FC4A35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5A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AB4"/>
  </w:style>
  <w:style w:type="paragraph" w:styleId="Footer">
    <w:name w:val="footer"/>
    <w:basedOn w:val="Normal"/>
    <w:link w:val="FooterChar"/>
    <w:uiPriority w:val="99"/>
    <w:unhideWhenUsed/>
    <w:rsid w:val="009F5A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AB4"/>
  </w:style>
  <w:style w:type="paragraph" w:styleId="ListParagraph">
    <w:name w:val="List Paragraph"/>
    <w:basedOn w:val="Normal"/>
    <w:uiPriority w:val="34"/>
    <w:qFormat/>
    <w:rsid w:val="004732E1"/>
    <w:pPr>
      <w:ind w:left="720"/>
      <w:contextualSpacing/>
    </w:pPr>
  </w:style>
  <w:style w:type="table" w:styleId="TableGrid">
    <w:name w:val="Table Grid"/>
    <w:basedOn w:val="TableNormal"/>
    <w:uiPriority w:val="39"/>
    <w:rsid w:val="00446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7A5AC3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6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6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9951A-8E65-4A2F-BBD1-2DE23FB67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deepakd2406@gmail.com</dc:creator>
  <cp:keywords/>
  <dc:description/>
  <cp:lastModifiedBy>deepakd2406@gmail.com</cp:lastModifiedBy>
  <cp:revision>1</cp:revision>
  <dcterms:created xsi:type="dcterms:W3CDTF">2026-05-01T07:44:00Z</dcterms:created>
  <dcterms:modified xsi:type="dcterms:W3CDTF">2026-05-01T15:10:00Z</dcterms:modified>
</cp:coreProperties>
</file>