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8"/>
        </w:rPr>
        <w:t>LLM-Driven Intelligent Educational Platform Using Hybrid RAG for Personalized Learning and Academic Support</w:t>
      </w:r>
    </w:p>
    <w:tbl>
      <w:tblPr>
        <w:tblW w:type="auto" w:w="0"/>
        <w:jc w:val="center"/>
        <w:tblLayout w:type="autofit"/>
        <w:tblLook w:firstColumn="1" w:firstRow="1" w:lastColumn="0" w:lastRow="0" w:noHBand="0" w:noVBand="1" w:val="04A0"/>
      </w:tblPr>
      <w:tblGrid>
        <w:gridCol w:w="3475"/>
        <w:gridCol w:w="3475"/>
        <w:gridCol w:w="3475"/>
      </w:tblGrid>
      <w:tr>
        <w:tc>
          <w:tcPr>
            <w:tcW w:type="dxa" w:w="3475"/>
          </w:tcPr>
          <w:p>
            <w:pPr>
              <w:spacing w:after="0" w:before="0"/>
              <w:jc w:val="center"/>
            </w:pPr>
            <w:r>
              <w:rPr>
                <w:rFonts w:ascii="Times New Roman" w:hAnsi="Times New Roman"/>
                <w:b/>
                <w:sz w:val="20"/>
              </w:rPr>
              <w:t>Vanitha P</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vanitha.it@kongu.edu</w:t>
            </w:r>
          </w:p>
        </w:tc>
        <w:tc>
          <w:tcPr>
            <w:tcW w:type="dxa" w:w="3475"/>
          </w:tcPr>
          <w:p>
            <w:pPr>
              <w:spacing w:after="0" w:before="0"/>
              <w:jc w:val="center"/>
            </w:pPr>
            <w:r>
              <w:rPr>
                <w:rFonts w:ascii="Times New Roman" w:hAnsi="Times New Roman"/>
                <w:b/>
                <w:sz w:val="20"/>
              </w:rPr>
              <w:t>Nithya T</w:t>
              <w:br/>
            </w:r>
            <w:r>
              <w:rPr>
                <w:rFonts w:ascii="Times New Roman" w:hAnsi="Times New Roman"/>
                <w:i/>
                <w:sz w:val="18"/>
              </w:rPr>
              <w:t>Dept. Information Technology</w:t>
              <w:br/>
              <w:t>Velalar College of Engineering</w:t>
              <w:br/>
              <w:t>Erode, India</w:t>
              <w:br/>
            </w:r>
            <w:r>
              <w:rPr>
                <w:rFonts w:ascii="Times New Roman" w:hAnsi="Times New Roman"/>
                <w:color w:val="0000FF"/>
                <w:sz w:val="18"/>
                <w:u w:val="single"/>
              </w:rPr>
              <w:t>tnithya27@gmail.com</w:t>
            </w:r>
          </w:p>
        </w:tc>
        <w:tc>
          <w:tcPr>
            <w:tcW w:type="dxa" w:w="3475"/>
          </w:tcPr>
          <w:p>
            <w:pPr>
              <w:spacing w:after="0" w:before="0"/>
              <w:jc w:val="center"/>
            </w:pPr>
            <w:r>
              <w:rPr>
                <w:rFonts w:ascii="Times New Roman" w:hAnsi="Times New Roman"/>
                <w:b/>
                <w:sz w:val="20"/>
              </w:rPr>
              <w:t>Aarthi R</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aarthi.it@kongu.edu</w:t>
            </w:r>
          </w:p>
        </w:tc>
      </w:tr>
      <w:tr>
        <w:tc>
          <w:tcPr>
            <w:tcW w:type="dxa" w:w="3475"/>
          </w:tcPr>
          <w:p>
            <w:pPr>
              <w:spacing w:after="0" w:before="0"/>
              <w:jc w:val="center"/>
            </w:pPr>
            <w:r>
              <w:rPr>
                <w:rFonts w:ascii="Times New Roman" w:hAnsi="Times New Roman"/>
                <w:b/>
                <w:sz w:val="20"/>
              </w:rPr>
              <w:t>Deepak K</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deepakk.23it@kongu.edu</w:t>
            </w:r>
          </w:p>
        </w:tc>
        <w:tc>
          <w:tcPr>
            <w:tcW w:type="dxa" w:w="3475"/>
          </w:tcPr>
          <w:p>
            <w:pPr>
              <w:spacing w:after="0" w:before="0"/>
              <w:jc w:val="center"/>
            </w:pPr>
            <w:r>
              <w:rPr>
                <w:rFonts w:ascii="Times New Roman" w:hAnsi="Times New Roman"/>
                <w:b/>
                <w:sz w:val="20"/>
              </w:rPr>
              <w:t>Deva C</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devac.23it@kongu.edu</w:t>
            </w:r>
          </w:p>
        </w:tc>
        <w:tc>
          <w:tcPr>
            <w:tcW w:type="dxa" w:w="3475"/>
          </w:tcPr>
          <w:p>
            <w:r/>
          </w:p>
        </w:tc>
      </w:tr>
    </w:tbl>
    <w:p/>
    <w:p>
      <w:pPr>
        <w:sectPr>
          <w:pgSz w:w="12240" w:h="15840"/>
          <w:pgMar w:top="1080" w:right="907" w:bottom="1080" w:left="907" w:header="720" w:footer="720" w:gutter="0"/>
          <w:cols w:space="720"/>
          <w:docGrid w:linePitch="360"/>
        </w:sectPr>
      </w:pPr>
    </w:p>
    <w:p>
      <w:pPr>
        <w:spacing w:after="80"/>
        <w:jc w:val="both"/>
      </w:pPr>
      <w:r>
        <w:rPr>
          <w:rFonts w:ascii="Times New Roman" w:hAnsi="Times New Roman"/>
          <w:b/>
          <w:i/>
          <w:sz w:val="18"/>
        </w:rPr>
        <w:t xml:space="preserve">Abstract— </w:t>
      </w:r>
      <w:r>
        <w:rPr>
          <w:rFonts w:ascii="Times New Roman" w:hAnsi="Times New Roman"/>
          <w:b/>
          <w:i/>
          <w:sz w:val="18"/>
        </w:rPr>
        <w:t>Standard Large Language Model (LLM) deployments in higher education suffer from stochastic hallucination, parametric knowledge drift, and an acute vulnerability to out-of-curriculum dissemination. Conventional dense vector Retrieval-Augmented Generation (RAG) partially mitigates this by supplying external context, but fails in technical engineering domains due to its inability to resolve domain-specific acronyms, mathematical formulas, and condensed OCR strings. This paper presents EduMentor AI, an end-to-end intelligent educational architecture that resolves these fundamental limitations through three novel technical contributions: (1) a Query-Adaptive Hybrid RAG engine combining dense vector embeddings with Okapi BM25 sparse keyword indices unified via Weighted Reciprocal Rank Fusion (RRF); (2) a Multi-Signal Natural Language Inference (NLI) Atomic Claim Grounding Engine (TrustScore) that decomposes generated answers into propositional units and scores them via substring containment, character 4-grams, and semantic entailment, triggering closed-loop autonomous self-correction when support falls below threshold; and (3) a Cognitive-Adaptive Educational Scaffolding mechanism that classifies incoming student queries into Bloom's Revised Taxonomy cognitive levels to modulate between Socratic scaffolding and direct explanation, paired with an Ebbinghaus memory retention model. In empirical benchmarks across five system configurations and seven multi-dimensional evaluations (N = 34 participants), EduMentor AI achieves 95.8% Precision@5, 96.8% Recall@5, 0.965 MRR, and 98.0% manual correctness under blinded faculty evaluation. In automated hallucination detection, the platform achieves 97.9% accuracy and 98.6% specificity, massively surpassing the 8.0% specificity reported in recent literature. A paired pre/post-intervention experimental trial demonstrates a statistically significant learning gain of +37.8% (p &lt; 0.001, Cohen's dz = 2.45, normalized gain g = 0.909) with a 115ms retrieval latency and an operational cost of $0.043 per 100 queries.</w:t>
      </w:r>
    </w:p>
    <w:p>
      <w:pPr>
        <w:spacing w:after="160"/>
        <w:jc w:val="both"/>
      </w:pPr>
      <w:r>
        <w:rPr>
          <w:rFonts w:ascii="Times New Roman" w:hAnsi="Times New Roman"/>
          <w:b/>
          <w:i/>
          <w:sz w:val="18"/>
        </w:rPr>
        <w:t xml:space="preserve">Keywords— </w:t>
      </w:r>
      <w:r>
        <w:rPr>
          <w:rFonts w:ascii="Times New Roman" w:hAnsi="Times New Roman"/>
          <w:b/>
          <w:i/>
          <w:sz w:val="18"/>
        </w:rPr>
        <w:t>Large Language Models, Hybrid RAG, Okapi BM25, Reciprocal Rank Fusion, Multi-Signal NLI Grounding, TrustScore Guardrail, Bloom's Taxonomy, Educational AI.</w:t>
      </w:r>
    </w:p>
    <w:p>
      <w:pPr>
        <w:spacing w:before="160" w:after="60"/>
        <w:jc w:val="center"/>
      </w:pPr>
      <w:r>
        <w:rPr>
          <w:rFonts w:ascii="Times New Roman" w:hAnsi="Times New Roman"/>
          <w:b/>
          <w:sz w:val="20"/>
        </w:rPr>
        <w:t>I. INTRODUCTION</w:t>
      </w:r>
    </w:p>
    <w:p>
      <w:pPr>
        <w:spacing w:after="70" w:line="252" w:lineRule="auto"/>
        <w:jc w:val="both"/>
      </w:pPr>
      <w:r>
        <w:rPr>
          <w:rFonts w:ascii="Times New Roman" w:hAnsi="Times New Roman"/>
          <w:sz w:val="20"/>
        </w:rPr>
        <w:t>Large Language Models (LLMs) have catalyzed a major paradigm shift in computer-assisted learning, demonstrating human-like fluency, code synthesis, and multi-step conversational reasoning. In higher education, the prospect of deploying LLMs as round-the-clock virtual tutors promises to alleviate severe faculty-to-student bandwidth bottlenecks, facilitate individualized remediation, and democratize access to high-quality academic support. However, standard autoregressive LLMs remain fundamentally unconstrained probabilistic generators. When deployed without curriculum-grounded guardrails, they frequently hallucinate plausible yet factually flawed explanations, extrapolate beyond official course syllabi, and produce inaccurate derivations. In university engineering disciplines—where conceptual mastery depends on exact definitions, theorems, relational schemas, and formal algorithms—such inaccuracies directly impair student learning and violate institutional academic integrity standards.</w:t>
      </w:r>
    </w:p>
    <w:p>
      <w:pPr>
        <w:spacing w:before="120" w:after="40"/>
        <w:jc w:val="left"/>
      </w:pPr>
      <w:r>
        <w:rPr>
          <w:rFonts w:ascii="Times New Roman" w:hAnsi="Times New Roman"/>
          <w:i/>
          <w:sz w:val="20"/>
        </w:rPr>
        <w:t>A. Motivation of This Work</w:t>
      </w:r>
    </w:p>
    <w:p>
      <w:pPr>
        <w:spacing w:after="70" w:line="252" w:lineRule="auto"/>
        <w:jc w:val="both"/>
      </w:pPr>
      <w:r>
        <w:rPr>
          <w:rFonts w:ascii="Times New Roman" w:hAnsi="Times New Roman"/>
          <w:sz w:val="20"/>
        </w:rPr>
        <w:t>Modern university courses confront students with extensive, heterogeneous academic corpora: multi-hundred-page textbooks, condensed lecture slide decks, lab manuals, and supplementary research papers. Contemporary Learning Management Systems (LMS) such as Moodle, Canvas, and Blackboard operate purely as passive document repositories. When students encounter conceptual roadblocks during self-regulated study or late-night exam revision, passive LMS repositories offer no semantic synthesis or real-time guidance. Students expend substantial cognitive bandwidth manually searching through disjointed PDFs, while faculty are inundated with repetitive procedural inquiries. What higher education urgently requires is an active, curriculum-anchored intelligence layer capable of locating authoritative source evidence and synthesizing pedagogically scaffolded explanations with verifiable citations.</w:t>
      </w:r>
    </w:p>
    <w:p>
      <w:pPr>
        <w:spacing w:before="120" w:after="40"/>
        <w:jc w:val="left"/>
      </w:pPr>
      <w:r>
        <w:rPr>
          <w:rFonts w:ascii="Times New Roman" w:hAnsi="Times New Roman"/>
          <w:i/>
          <w:sz w:val="20"/>
        </w:rPr>
        <w:t>B. Problem Statement</w:t>
      </w:r>
    </w:p>
    <w:p>
      <w:pPr>
        <w:spacing w:after="70" w:line="252" w:lineRule="auto"/>
        <w:jc w:val="both"/>
      </w:pPr>
      <w:r>
        <w:rPr>
          <w:rFonts w:ascii="Times New Roman" w:hAnsi="Times New Roman"/>
          <w:sz w:val="20"/>
        </w:rPr>
        <w:t>Retrieval-Augmented Generation (RAG) has emerged as the leading framework to anchor generative models in external knowledge. However, applying standard RAG to university academic corpora exposes three critical technical deficiencies: (1) The Semantic-Lexical Retrieval Mismatch: Standard dense vector embeddings excel at conceptual generalization but catastrophically fail on exact domain keywords, acronyms (e.g., '2PL', 'ACID', 'BCNF'), formal syntax, and condensed OCR text where spaces between words are missing. Conversely, sparse keyword algorithms (e.g., Okapi BM25) capture exact lexical matches but fail when student queries utilize conversational synonyms or paraphrasing. (2) The Hallucination Verification Deficit: Existing RAG platforms rely on heuristic string-matching or trust the LLM's self-reported confidence. In the recent benchmark study by Neumann et al. (IEEE Trans. on Education, 2025) on MoodleBot, the automated grounding checker achieved an accuracy of ~82% but suffered from an alarming 8.0% specificity rate—meaning 92% of hallucinated claims slipped through undetected. (3) The Pedagogical Absence: Conventional RAG bots operate as passive question-answering engines, directly handing over finished assignment solutions rather than providing Socratic scaffolding, encouraging passive copying rather than active conceptual mastery.</w:t>
      </w:r>
    </w:p>
    <w:p>
      <w:pPr>
        <w:spacing w:before="120" w:after="40"/>
        <w:jc w:val="left"/>
      </w:pPr>
      <w:r>
        <w:rPr>
          <w:rFonts w:ascii="Times New Roman" w:hAnsi="Times New Roman"/>
          <w:i/>
          <w:sz w:val="20"/>
        </w:rPr>
        <w:t>C. Objectives</w:t>
      </w:r>
    </w:p>
    <w:p>
      <w:pPr>
        <w:spacing w:after="70" w:line="252" w:lineRule="auto"/>
        <w:jc w:val="both"/>
      </w:pPr>
      <w:r>
        <w:rPr>
          <w:rFonts w:ascii="Times New Roman" w:hAnsi="Times New Roman"/>
          <w:sz w:val="20"/>
        </w:rPr>
        <w:t>To mitigate hallucinations and ground the LLM's responses in established course curricula, this research aims to develop a robust, scalable architecture that synergizes dense and sparse retrieval mechanisms. The primary objective is to create an educational platform where every AI-generated claim is backed by a verifiable source, directly addressing the trust deficit in current generative AI applications. Secondary objectives include creating a dynamic, personalized learning environment that adapts to student interactions, developing an automated assignment evaluation module that reduces faculty workload, and establishing a rigorous, mathematical hallucination guardrail to intercept unsupported claims before they reach the student. Ultimately, the goal is to build a system that is not only highly accurate but also fully explainable and aligned with academic integrity standards.</w:t>
      </w:r>
    </w:p>
    <w:p>
      <w:pPr>
        <w:spacing w:before="120" w:after="40"/>
        <w:jc w:val="left"/>
      </w:pPr>
      <w:r>
        <w:rPr>
          <w:rFonts w:ascii="Times New Roman" w:hAnsi="Times New Roman"/>
          <w:i/>
          <w:sz w:val="20"/>
        </w:rPr>
        <w:t>D. Contributions of the Proposed System</w:t>
      </w:r>
    </w:p>
    <w:p>
      <w:pPr>
        <w:spacing w:after="70" w:line="252" w:lineRule="auto"/>
        <w:jc w:val="both"/>
      </w:pPr>
      <w:r>
        <w:rPr>
          <w:rFonts w:ascii="Times New Roman" w:hAnsi="Times New Roman"/>
          <w:sz w:val="20"/>
        </w:rPr>
        <w:t>This work contributes EduMentor AI, an end-to-end intelligent tutoring system with four primary architectural contributions: (1) Dual-Branch Hybrid RAG Pipeline combining dense MiniLM embeddings and Okapi BM25 via Weighted Reciprocal Rank Fusion (RRF); (2) Multi-Signal NLI Atomic Claim Grounding Engine (TrustScore) with substring OCR token containment and closed-loop self-correction; (3) Cognitive Bloom's Taxonomy Query Classifier modulating between Socratic scaffolding and direct explanation; and (4) Ebbinghaus Spaced-Repetition Memory Engine modeling retention decay R(t) = exp(-t/S_k) to automate revision scheduling.</w:t>
      </w:r>
    </w:p>
    <w:p>
      <w:pPr>
        <w:spacing w:before="120" w:after="40"/>
        <w:jc w:val="left"/>
      </w:pPr>
      <w:r>
        <w:rPr>
          <w:rFonts w:ascii="Times New Roman" w:hAnsi="Times New Roman"/>
          <w:i/>
          <w:sz w:val="20"/>
        </w:rPr>
        <w:t>E. Overview of the Proposed Platform</w:t>
      </w:r>
    </w:p>
    <w:p>
      <w:pPr>
        <w:spacing w:after="70" w:line="252" w:lineRule="auto"/>
        <w:jc w:val="both"/>
      </w:pPr>
      <w:r>
        <w:rPr>
          <w:rFonts w:ascii="Times New Roman" w:hAnsi="Times New Roman"/>
          <w:sz w:val="20"/>
        </w:rPr>
        <w:t>Architecture and empirical evaluation of the platform are described in this paper. A React front-end and an Express.js back-end together form the web application. Course relevance is first checked by a lightweight gatekeeper LLM for every student query. Surviving queries proceed into the hybrid RAG pipeline, where verified context is supplied to the generator model openai/gpt-oss-120b. A transparent interface accompanies each answer, enabling students to open the exact source document and page. Measured retrieval accuracy reached 95.8% (P@5) and an overall correctness rate of 98.0% was recorded under real university course conditions.</w:t>
      </w:r>
    </w:p>
    <w:p>
      <w:pPr>
        <w:spacing w:before="160" w:after="60"/>
        <w:jc w:val="center"/>
      </w:pPr>
      <w:r>
        <w:rPr>
          <w:rFonts w:ascii="Times New Roman" w:hAnsi="Times New Roman"/>
          <w:b/>
          <w:sz w:val="20"/>
        </w:rPr>
        <w:t>II. BACKGROUND AND RELATED WORK</w:t>
      </w:r>
    </w:p>
    <w:p>
      <w:pPr>
        <w:spacing w:before="120" w:after="40"/>
        <w:jc w:val="left"/>
      </w:pPr>
      <w:r>
        <w:rPr>
          <w:rFonts w:ascii="Times New Roman" w:hAnsi="Times New Roman"/>
          <w:i/>
          <w:sz w:val="20"/>
        </w:rPr>
        <w:t>A. LLMs in Education</w:t>
      </w:r>
    </w:p>
    <w:p>
      <w:pPr>
        <w:spacing w:after="70" w:line="252" w:lineRule="auto"/>
        <w:jc w:val="both"/>
      </w:pPr>
      <w:r>
        <w:rPr>
          <w:rFonts w:ascii="Times New Roman" w:hAnsi="Times New Roman"/>
          <w:sz w:val="20"/>
        </w:rPr>
        <w:t>Automated feedback, content summarization, and interactive tutoring already employ Large Language Models in educational settings. Careful prompts and context limits remain necessary even for strong models such as GPT-4 when the setting is strictly academic; drift outside the syllabus can otherwise occur. Recent surveys by Yan et al. (2024) and Dong et al. (2024) confirm that ungrounded models risk student misconceptions.</w:t>
      </w:r>
    </w:p>
    <w:p>
      <w:pPr>
        <w:spacing w:before="120" w:after="40"/>
        <w:jc w:val="left"/>
      </w:pPr>
      <w:r>
        <w:rPr>
          <w:rFonts w:ascii="Times New Roman" w:hAnsi="Times New Roman"/>
          <w:i/>
          <w:sz w:val="20"/>
        </w:rPr>
        <w:t>B. Educational Chatbots</w:t>
      </w:r>
    </w:p>
    <w:p>
      <w:pPr>
        <w:spacing w:after="70" w:line="252" w:lineRule="auto"/>
        <w:jc w:val="both"/>
      </w:pPr>
      <w:r>
        <w:rPr>
          <w:rFonts w:ascii="Times New Roman" w:hAnsi="Times New Roman"/>
          <w:sz w:val="20"/>
        </w:rPr>
        <w:t>Fixed rules and decision trees underpinned earlier educational chatbots. Rigidity characterized the resulting conversations, and nuanced questions were frequently mishandled. Greater fluency is achieved by LLM-based agents, yet constraints are still required if the agents are to remain inside the syllabus and avoid simply handing over finished assignment solutions.</w:t>
      </w:r>
    </w:p>
    <w:p>
      <w:pPr>
        <w:spacing w:before="120" w:after="40"/>
        <w:jc w:val="left"/>
      </w:pPr>
      <w:r>
        <w:rPr>
          <w:rFonts w:ascii="Times New Roman" w:hAnsi="Times New Roman"/>
          <w:i/>
          <w:sz w:val="20"/>
        </w:rPr>
        <w:t>C. Hybrid Retrieval in RAG</w:t>
      </w:r>
    </w:p>
    <w:p>
      <w:pPr>
        <w:spacing w:after="70" w:line="252" w:lineRule="auto"/>
        <w:jc w:val="both"/>
      </w:pPr>
      <w:r>
        <w:rPr>
          <w:rFonts w:ascii="Times New Roman" w:hAnsi="Times New Roman"/>
          <w:sz w:val="20"/>
        </w:rPr>
        <w:t>Relevant documents are placed inside the context window by Retrieval-Augmented Generation, thereby improving LLMs. Dense retrieval alone, performed through vector databases, characterizes traditional systems. A sparse method such as BM25 is added by hybrid retrieval for exact keyword matching while dense retrieval is retained for semantic similarity. The two ranked lists are merged by Reciprocal Rank Fusion (RRF) without requiring an extra re-ranker.</w:t>
      </w:r>
    </w:p>
    <w:p>
      <w:pPr>
        <w:spacing w:before="120" w:after="40"/>
        <w:jc w:val="left"/>
      </w:pPr>
      <w:r>
        <w:rPr>
          <w:rFonts w:ascii="Times New Roman" w:hAnsi="Times New Roman"/>
          <w:i/>
          <w:sz w:val="20"/>
        </w:rPr>
        <w:t>D. Personalized Learning</w:t>
      </w:r>
    </w:p>
    <w:p>
      <w:pPr>
        <w:spacing w:after="70" w:line="252" w:lineRule="auto"/>
        <w:jc w:val="both"/>
      </w:pPr>
      <w:r>
        <w:rPr>
          <w:rFonts w:ascii="Times New Roman" w:hAnsi="Times New Roman"/>
          <w:sz w:val="20"/>
        </w:rPr>
        <w:t>Instruction is adapted by personalized learning to the needs, strengths, and weaknesses of each student. Study schedules can be built and specific topics recommended for review by an AI platform that draws on interaction history, quiz scores, and stated preferences; more effective self-regulated learning is thereby supported.</w:t>
      </w:r>
    </w:p>
    <w:p>
      <w:pPr>
        <w:spacing w:before="120" w:after="40"/>
        <w:jc w:val="left"/>
      </w:pPr>
      <w:r>
        <w:rPr>
          <w:rFonts w:ascii="Times New Roman" w:hAnsi="Times New Roman"/>
          <w:i/>
          <w:sz w:val="20"/>
        </w:rPr>
        <w:t>E. Research Gap</w:t>
      </w:r>
    </w:p>
    <w:p>
      <w:pPr>
        <w:spacing w:after="70" w:line="252" w:lineRule="auto"/>
        <w:jc w:val="both"/>
      </w:pPr>
      <w:r>
        <w:rPr>
          <w:rFonts w:ascii="Times New Roman" w:hAnsi="Times New Roman"/>
          <w:sz w:val="20"/>
        </w:rPr>
        <w:t>Individual study of LLMs and of vector search is already extensive. Parallel hybrid retrieval, explainable source citations, and quantitative hallucination detection tailored to higher-education course material are combined by far fewer end-to-end educational platforms. An open research gap therefore persists around that particular combination.</w:t>
      </w:r>
    </w:p>
    <w:p>
      <w:pPr>
        <w:spacing w:before="160" w:after="60"/>
        <w:jc w:val="center"/>
      </w:pPr>
      <w:r>
        <w:rPr>
          <w:rFonts w:ascii="Times New Roman" w:hAnsi="Times New Roman"/>
          <w:b/>
          <w:sz w:val="20"/>
        </w:rPr>
        <w:t>III. PROPOSED SYSTEM</w:t>
      </w:r>
    </w:p>
    <w:p>
      <w:pPr>
        <w:spacing w:after="70" w:line="252" w:lineRule="auto"/>
        <w:jc w:val="both"/>
      </w:pPr>
      <w:r>
        <w:rPr>
          <w:rFonts w:ascii="Times New Roman" w:hAnsi="Times New Roman"/>
          <w:sz w:val="20"/>
        </w:rPr>
        <w:t>Scalability characterizes the proposed web application. A modern front-end, a secure Node.js back-end, and a dedicated AI pipeline are present, and tools are supplied for students, faculty, and administrators.</w:t>
      </w:r>
    </w:p>
    <w:p>
      <w:pPr>
        <w:spacing w:before="120" w:after="40"/>
        <w:jc w:val="left"/>
      </w:pPr>
      <w:r>
        <w:rPr>
          <w:rFonts w:ascii="Times New Roman" w:hAnsi="Times New Roman"/>
          <w:i/>
          <w:sz w:val="20"/>
        </w:rPr>
        <w:t>A. System Architecture</w:t>
      </w:r>
    </w:p>
    <w:p>
      <w:pPr>
        <w:spacing w:after="70" w:line="252" w:lineRule="auto"/>
        <w:jc w:val="both"/>
      </w:pPr>
      <w:r>
        <w:rPr>
          <w:rFonts w:ascii="Times New Roman" w:hAnsi="Times New Roman"/>
          <w:sz w:val="20"/>
        </w:rPr>
        <w:t>Modern web frameworks are used for the client interface while Express.js powers the back-end. User profiles, chat histories, course metadata, and audit logs are held in MongoDB. A Chroma vector database stores the course embeddings. The Groq API handles generation, primarily via openai/gpt-oss-120b; a switch to llama-3.3-70b-versatile occurs when rate limits or context length become problematic.</w:t>
      </w:r>
    </w:p>
    <w:p>
      <w:pPr>
        <w:spacing w:before="120" w:after="40"/>
        <w:jc w:val="center"/>
      </w:pPr>
      <w:r>
        <w:drawing>
          <wp:inline xmlns:a="http://schemas.openxmlformats.org/drawingml/2006/main" xmlns:pic="http://schemas.openxmlformats.org/drawingml/2006/picture">
            <wp:extent cx="2971800" cy="152651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971800" cy="1526510"/>
                    </a:xfrm>
                    <a:prstGeom prst="rect"/>
                  </pic:spPr>
                </pic:pic>
              </a:graphicData>
            </a:graphic>
          </wp:inline>
        </w:drawing>
      </w:r>
    </w:p>
    <w:p>
      <w:pPr>
        <w:spacing w:after="120"/>
        <w:jc w:val="center"/>
      </w:pPr>
      <w:r>
        <w:rPr>
          <w:rFonts w:ascii="Times New Roman" w:hAnsi="Times New Roman"/>
          <w:i/>
          <w:sz w:val="17"/>
        </w:rPr>
        <w:t>Fig. 1. Overall System Architecture of the Proposed Educational Platform.</w:t>
      </w:r>
    </w:p>
    <w:p>
      <w:pPr>
        <w:spacing w:before="120" w:after="40"/>
        <w:jc w:val="left"/>
      </w:pPr>
      <w:r>
        <w:rPr>
          <w:rFonts w:ascii="Times New Roman" w:hAnsi="Times New Roman"/>
          <w:i/>
          <w:sz w:val="20"/>
        </w:rPr>
        <w:t>B. Knowledge Acquisition and Processing</w:t>
      </w:r>
    </w:p>
    <w:p>
      <w:pPr>
        <w:spacing w:after="70" w:line="252" w:lineRule="auto"/>
        <w:jc w:val="both"/>
      </w:pPr>
      <w:r>
        <w:rPr>
          <w:rFonts w:ascii="Times New Roman" w:hAnsi="Times New Roman"/>
          <w:sz w:val="20"/>
        </w:rPr>
        <w:t>Lecture slides, syllabi, and readings are uploaded by faculty through the administrative dashboard. Text extraction, splitting into context-sized chunks (512 tokens with 64 overlap), embedding of each chunk, and construction of a BM25 index are performed by the ingestion pipeline. Document identity and page number are retained by every chunk so that later citations remain precise.</w:t>
      </w:r>
    </w:p>
    <w:p>
      <w:pPr>
        <w:spacing w:before="120" w:after="40"/>
        <w:jc w:val="center"/>
      </w:pPr>
      <w:r>
        <w:drawing>
          <wp:inline xmlns:a="http://schemas.openxmlformats.org/drawingml/2006/main" xmlns:pic="http://schemas.openxmlformats.org/drawingml/2006/picture">
            <wp:extent cx="2971800" cy="1157354"/>
            <wp:docPr id="2" name="Picture 2"/>
            <wp:cNvGraphicFramePr>
              <a:graphicFrameLocks noChangeAspect="1"/>
            </wp:cNvGraphicFramePr>
            <a:graphic>
              <a:graphicData uri="http://schemas.openxmlformats.org/drawingml/2006/picture">
                <pic:pic>
                  <pic:nvPicPr>
                    <pic:cNvPr id="0" name="fig3_data_pipeline.png"/>
                    <pic:cNvPicPr/>
                  </pic:nvPicPr>
                  <pic:blipFill>
                    <a:blip r:embed="rId10"/>
                    <a:stretch>
                      <a:fillRect/>
                    </a:stretch>
                  </pic:blipFill>
                  <pic:spPr>
                    <a:xfrm>
                      <a:off x="0" y="0"/>
                      <a:ext cx="2971800" cy="1157354"/>
                    </a:xfrm>
                    <a:prstGeom prst="rect"/>
                  </pic:spPr>
                </pic:pic>
              </a:graphicData>
            </a:graphic>
          </wp:inline>
        </w:drawing>
      </w:r>
    </w:p>
    <w:p>
      <w:pPr>
        <w:spacing w:after="120"/>
        <w:jc w:val="center"/>
      </w:pPr>
      <w:r>
        <w:rPr>
          <w:rFonts w:ascii="Times New Roman" w:hAnsi="Times New Roman"/>
          <w:i/>
          <w:sz w:val="17"/>
        </w:rPr>
        <w:t>Fig. 2. Knowledge Acquisition and Document Processing Pipeline.</w:t>
      </w:r>
    </w:p>
    <w:p>
      <w:pPr>
        <w:spacing w:before="120" w:after="40"/>
        <w:jc w:val="left"/>
      </w:pPr>
      <w:r>
        <w:rPr>
          <w:rFonts w:ascii="Times New Roman" w:hAnsi="Times New Roman"/>
          <w:i/>
          <w:sz w:val="20"/>
        </w:rPr>
        <w:t>C. Hybrid RAG Pipeline</w:t>
      </w:r>
    </w:p>
    <w:p>
      <w:pPr>
        <w:spacing w:after="70" w:line="252" w:lineRule="auto"/>
        <w:jc w:val="both"/>
      </w:pPr>
      <w:r>
        <w:rPr>
          <w:rFonts w:ascii="Times New Roman" w:hAnsi="Times New Roman"/>
          <w:sz w:val="20"/>
        </w:rPr>
        <w:t>The Hybrid RAG pipeline underpins accuracy. Parallel execution of two retrievals follows submission of a student query: semantically similar chunks are returned by vector search using all-MiniLM-L6-v2 cosine similarity: Sim_dense(q, d) = (e_q · e_d) / (||e_q|| ||e_d||), while chunks sharing exact terms are returned by Okapi BM25: BM25(q, d) = sum_t IDF(t) · [f(t,d)(k_1+1)] / [f(t,d) + k_1(1-b+b|d|/avgdl)]. Open conceptual questions and tightly worded requests for definitions or acronyms are both covered by the dual approach.</w:t>
      </w:r>
    </w:p>
    <w:p>
      <w:pPr>
        <w:spacing w:before="120" w:after="40"/>
        <w:jc w:val="center"/>
      </w:pPr>
      <w:r>
        <w:drawing>
          <wp:inline xmlns:a="http://schemas.openxmlformats.org/drawingml/2006/main" xmlns:pic="http://schemas.openxmlformats.org/drawingml/2006/picture">
            <wp:extent cx="2971800" cy="1329871"/>
            <wp:docPr id="3" name="Picture 3"/>
            <wp:cNvGraphicFramePr>
              <a:graphicFrameLocks noChangeAspect="1"/>
            </wp:cNvGraphicFramePr>
            <a:graphic>
              <a:graphicData uri="http://schemas.openxmlformats.org/drawingml/2006/picture">
                <pic:pic>
                  <pic:nvPicPr>
                    <pic:cNvPr id="0" name="fig2_hybrid_rag.png"/>
                    <pic:cNvPicPr/>
                  </pic:nvPicPr>
                  <pic:blipFill>
                    <a:blip r:embed="rId11"/>
                    <a:stretch>
                      <a:fillRect/>
                    </a:stretch>
                  </pic:blipFill>
                  <pic:spPr>
                    <a:xfrm>
                      <a:off x="0" y="0"/>
                      <a:ext cx="2971800" cy="1329871"/>
                    </a:xfrm>
                    <a:prstGeom prst="rect"/>
                  </pic:spPr>
                </pic:pic>
              </a:graphicData>
            </a:graphic>
          </wp:inline>
        </w:drawing>
      </w:r>
    </w:p>
    <w:p>
      <w:pPr>
        <w:spacing w:after="120"/>
        <w:jc w:val="center"/>
      </w:pPr>
      <w:r>
        <w:rPr>
          <w:rFonts w:ascii="Times New Roman" w:hAnsi="Times New Roman"/>
          <w:i/>
          <w:sz w:val="17"/>
        </w:rPr>
        <w:t>Fig. 3. Hybrid Retrieval-Augmented Generation Architecture.</w:t>
      </w:r>
    </w:p>
    <w:p>
      <w:pPr>
        <w:spacing w:before="120" w:after="40"/>
        <w:jc w:val="left"/>
      </w:pPr>
      <w:r>
        <w:rPr>
          <w:rFonts w:ascii="Times New Roman" w:hAnsi="Times New Roman"/>
          <w:i/>
          <w:sz w:val="20"/>
        </w:rPr>
        <w:t>D. Query Processing</w:t>
      </w:r>
    </w:p>
    <w:p>
      <w:pPr>
        <w:spacing w:after="70" w:line="252" w:lineRule="auto"/>
        <w:jc w:val="both"/>
      </w:pPr>
      <w:r>
        <w:rPr>
          <w:rFonts w:ascii="Times New Roman" w:hAnsi="Times New Roman"/>
          <w:sz w:val="20"/>
        </w:rPr>
        <w:t>Whether a query belongs to the current course is first decided by a lightweight LLM (qwen3.6-27b). Decline of off-topic requests keeps the tutor inside the syllabus and prevents transformation into a general-purpose chatbot.</w:t>
      </w:r>
    </w:p>
    <w:p>
      <w:pPr>
        <w:spacing w:before="120" w:after="40"/>
        <w:jc w:val="center"/>
      </w:pPr>
      <w:r>
        <w:drawing>
          <wp:inline xmlns:a="http://schemas.openxmlformats.org/drawingml/2006/main" xmlns:pic="http://schemas.openxmlformats.org/drawingml/2006/picture">
            <wp:extent cx="2971800" cy="1166314"/>
            <wp:docPr id="4" name="Picture 4"/>
            <wp:cNvGraphicFramePr>
              <a:graphicFrameLocks noChangeAspect="1"/>
            </wp:cNvGraphicFramePr>
            <a:graphic>
              <a:graphicData uri="http://schemas.openxmlformats.org/drawingml/2006/picture">
                <pic:pic>
                  <pic:nvPicPr>
                    <pic:cNvPr id="0" name="fig4_query_workflow.png"/>
                    <pic:cNvPicPr/>
                  </pic:nvPicPr>
                  <pic:blipFill>
                    <a:blip r:embed="rId12"/>
                    <a:stretch>
                      <a:fillRect/>
                    </a:stretch>
                  </pic:blipFill>
                  <pic:spPr>
                    <a:xfrm>
                      <a:off x="0" y="0"/>
                      <a:ext cx="2971800" cy="1166314"/>
                    </a:xfrm>
                    <a:prstGeom prst="rect"/>
                  </pic:spPr>
                </pic:pic>
              </a:graphicData>
            </a:graphic>
          </wp:inline>
        </w:drawing>
      </w:r>
    </w:p>
    <w:p>
      <w:pPr>
        <w:spacing w:after="120"/>
        <w:jc w:val="center"/>
      </w:pPr>
      <w:r>
        <w:rPr>
          <w:rFonts w:ascii="Times New Roman" w:hAnsi="Times New Roman"/>
          <w:i/>
          <w:sz w:val="17"/>
        </w:rPr>
        <w:t>Fig. 4. Query Processing and Response Generation Workflow.</w:t>
      </w:r>
    </w:p>
    <w:p>
      <w:pPr>
        <w:spacing w:before="120" w:after="40"/>
        <w:jc w:val="left"/>
      </w:pPr>
      <w:r>
        <w:rPr>
          <w:rFonts w:ascii="Times New Roman" w:hAnsi="Times New Roman"/>
          <w:i/>
          <w:sz w:val="20"/>
        </w:rPr>
        <w:t>E. Retrieval Mechanism and Reciprocal Rank Fusion</w:t>
      </w:r>
    </w:p>
    <w:p>
      <w:pPr>
        <w:spacing w:after="70" w:line="252" w:lineRule="auto"/>
        <w:jc w:val="both"/>
      </w:pPr>
      <w:r>
        <w:rPr>
          <w:rFonts w:ascii="Times New Roman" w:hAnsi="Times New Roman"/>
          <w:sz w:val="20"/>
        </w:rPr>
        <w:t>Reciprocal Rank Fusion (RRF) fuses the scores obtained from the vector and BM25 searches. The RRF score of a chunk d equals the sum of w_m / (k + rank_m(d)) across dense and sparse ranked lists, where the smoothing constant k equals 60, w_dense = 0.65, and w_sparse = 0.35. Rise to the top is achieved by chunks that rank well under both semantic and lexical criteria.</w:t>
      </w:r>
    </w:p>
    <w:p>
      <w:pPr>
        <w:spacing w:before="120" w:after="40"/>
        <w:jc w:val="left"/>
      </w:pPr>
      <w:r>
        <w:rPr>
          <w:rFonts w:ascii="Times New Roman" w:hAnsi="Times New Roman"/>
          <w:i/>
          <w:sz w:val="20"/>
        </w:rPr>
        <w:t>F. Context Construction</w:t>
      </w:r>
    </w:p>
    <w:p>
      <w:pPr>
        <w:spacing w:after="70" w:line="252" w:lineRule="auto"/>
        <w:jc w:val="both"/>
      </w:pPr>
      <w:r>
        <w:rPr>
          <w:rFonts w:ascii="Times New Roman" w:hAnsi="Times New Roman"/>
          <w:sz w:val="20"/>
        </w:rPr>
        <w:t>Formation of the context window is performed by the highest-ranked chunks (top-5). Source and page labels accompany each chunk (for example, [Source 1: Database_Fundamentals.pdf, p.42]). In-line citations that students themselves can verify are therefore producible by the generator.</w:t>
      </w:r>
    </w:p>
    <w:p>
      <w:pPr>
        <w:spacing w:before="120" w:after="40"/>
        <w:jc w:val="left"/>
      </w:pPr>
      <w:r>
        <w:rPr>
          <w:rFonts w:ascii="Times New Roman" w:hAnsi="Times New Roman"/>
          <w:i/>
          <w:sz w:val="20"/>
        </w:rPr>
        <w:t>G. LLM Response Generation &amp; Multi-Signal Grounding Guardrail</w:t>
      </w:r>
    </w:p>
    <w:p>
      <w:pPr>
        <w:spacing w:after="70" w:line="252" w:lineRule="auto"/>
        <w:jc w:val="both"/>
      </w:pPr>
      <w:r>
        <w:rPr>
          <w:rFonts w:ascii="Times New Roman" w:hAnsi="Times New Roman"/>
          <w:sz w:val="20"/>
        </w:rPr>
        <w:t>Dispatch to the LLM comprises the assembled context, dialogue history, and a strict system prompt. Streaming answers preserves interface responsiveness. Before delivery, responses are evaluated by the Multi-Signal NLI Grounding Guardrail: each response is decomposed into atomic claims c_i and scored: S(c_i, P) = alpha · Lex(c_i, P) + beta · CharNGram_4(c_i, P) + gamma · Sim(E(c_i), E(P)) + delta · NLI(c_i, P), where alpha=0.25, beta=0.25, gamma=0.20, delta=0.30. If TrustScore &lt; 45%, an autonomous self-correction loop rewrites ungrounded statements using verified context.</w:t>
      </w:r>
    </w:p>
    <w:p>
      <w:pPr>
        <w:spacing w:before="120" w:after="40"/>
        <w:jc w:val="left"/>
      </w:pPr>
      <w:r>
        <w:rPr>
          <w:rFonts w:ascii="Times New Roman" w:hAnsi="Times New Roman"/>
          <w:i/>
          <w:sz w:val="20"/>
        </w:rPr>
        <w:t>H. Personalized Learning</w:t>
      </w:r>
    </w:p>
    <w:p>
      <w:pPr>
        <w:spacing w:after="70" w:line="252" w:lineRule="auto"/>
        <w:jc w:val="both"/>
      </w:pPr>
      <w:r>
        <w:rPr>
          <w:rFonts w:ascii="Times New Roman" w:hAnsi="Times New Roman"/>
          <w:sz w:val="20"/>
        </w:rPr>
        <w:t>Weekly schedules centered on exam dates, available study hours, and identified weak topics such as Normalization or Concurrency Control are built by a Study Planner that is fed by quiz results and interaction patterns. Concept memory retention is tracked via Ebbinghaus's model R(t) = exp(-t/S_k), triggering revision alerts when retention falls below 60%.</w:t>
      </w:r>
    </w:p>
    <w:p>
      <w:pPr>
        <w:spacing w:before="120" w:after="40"/>
        <w:jc w:val="center"/>
      </w:pPr>
      <w:r>
        <w:drawing>
          <wp:inline xmlns:a="http://schemas.openxmlformats.org/drawingml/2006/main" xmlns:pic="http://schemas.openxmlformats.org/drawingml/2006/picture">
            <wp:extent cx="2971800" cy="1455616"/>
            <wp:docPr id="5" name="Picture 5"/>
            <wp:cNvGraphicFramePr>
              <a:graphicFrameLocks noChangeAspect="1"/>
            </wp:cNvGraphicFramePr>
            <a:graphic>
              <a:graphicData uri="http://schemas.openxmlformats.org/drawingml/2006/picture">
                <pic:pic>
                  <pic:nvPicPr>
                    <pic:cNvPr id="0" name="fig5_personalization.png"/>
                    <pic:cNvPicPr/>
                  </pic:nvPicPr>
                  <pic:blipFill>
                    <a:blip r:embed="rId13"/>
                    <a:stretch>
                      <a:fillRect/>
                    </a:stretch>
                  </pic:blipFill>
                  <pic:spPr>
                    <a:xfrm>
                      <a:off x="0" y="0"/>
                      <a:ext cx="2971800" cy="1455616"/>
                    </a:xfrm>
                    <a:prstGeom prst="rect"/>
                  </pic:spPr>
                </pic:pic>
              </a:graphicData>
            </a:graphic>
          </wp:inline>
        </w:drawing>
      </w:r>
    </w:p>
    <w:p>
      <w:pPr>
        <w:spacing w:after="120"/>
        <w:jc w:val="center"/>
      </w:pPr>
      <w:r>
        <w:rPr>
          <w:rFonts w:ascii="Times New Roman" w:hAnsi="Times New Roman"/>
          <w:i/>
          <w:sz w:val="17"/>
        </w:rPr>
        <w:t>Fig. 5. Personalized Learning Architecture.</w:t>
      </w:r>
    </w:p>
    <w:p>
      <w:pPr>
        <w:spacing w:before="120" w:after="40"/>
        <w:jc w:val="left"/>
      </w:pPr>
      <w:r>
        <w:rPr>
          <w:rFonts w:ascii="Times New Roman" w:hAnsi="Times New Roman"/>
          <w:i/>
          <w:sz w:val="20"/>
        </w:rPr>
        <w:t>I. Academic Support Features</w:t>
      </w:r>
    </w:p>
    <w:p>
      <w:pPr>
        <w:spacing w:after="70" w:line="252" w:lineRule="auto"/>
        <w:jc w:val="both"/>
      </w:pPr>
      <w:r>
        <w:rPr>
          <w:rFonts w:ascii="Times New Roman" w:hAnsi="Times New Roman"/>
          <w:sz w:val="20"/>
        </w:rPr>
        <w:t>Simplified explanations, real-world examples, or exam-oriented summaries can be requested by students through an Explain mode that extends ordinary question answering. Hierarchical concept graphs showing topic relationships can also be extracted by the system. An automated assignment evaluator is received by faculty; defined rubrics are applied and preliminary grades are returned together with constructive comments.</w:t>
      </w:r>
    </w:p>
    <w:p>
      <w:pPr>
        <w:spacing w:before="120" w:after="40"/>
        <w:jc w:val="center"/>
      </w:pPr>
      <w:r>
        <w:drawing>
          <wp:inline xmlns:a="http://schemas.openxmlformats.org/drawingml/2006/main" xmlns:pic="http://schemas.openxmlformats.org/drawingml/2006/picture">
            <wp:extent cx="2971800" cy="1838253"/>
            <wp:docPr id="6" name="Picture 6"/>
            <wp:cNvGraphicFramePr>
              <a:graphicFrameLocks noChangeAspect="1"/>
            </wp:cNvGraphicFramePr>
            <a:graphic>
              <a:graphicData uri="http://schemas.openxmlformats.org/drawingml/2006/picture">
                <pic:pic>
                  <pic:nvPicPr>
                    <pic:cNvPr id="0" name="fig8_ui_components.png"/>
                    <pic:cNvPicPr/>
                  </pic:nvPicPr>
                  <pic:blipFill>
                    <a:blip r:embed="rId14"/>
                    <a:stretch>
                      <a:fillRect/>
                    </a:stretch>
                  </pic:blipFill>
                  <pic:spPr>
                    <a:xfrm>
                      <a:off x="0" y="0"/>
                      <a:ext cx="2971800" cy="1838253"/>
                    </a:xfrm>
                    <a:prstGeom prst="rect"/>
                  </pic:spPr>
                </pic:pic>
              </a:graphicData>
            </a:graphic>
          </wp:inline>
        </w:drawing>
      </w:r>
    </w:p>
    <w:p>
      <w:pPr>
        <w:spacing w:after="120"/>
        <w:jc w:val="center"/>
      </w:pPr>
      <w:r>
        <w:rPr>
          <w:rFonts w:ascii="Times New Roman" w:hAnsi="Times New Roman"/>
          <w:i/>
          <w:sz w:val="17"/>
        </w:rPr>
        <w:t>Fig. 6. Academic Support Workflow.</w:t>
      </w:r>
    </w:p>
    <w:p>
      <w:pPr>
        <w:spacing w:before="120" w:after="40"/>
        <w:jc w:val="left"/>
      </w:pPr>
      <w:r>
        <w:rPr>
          <w:rFonts w:ascii="Times New Roman" w:hAnsi="Times New Roman"/>
          <w:i/>
          <w:sz w:val="20"/>
        </w:rPr>
        <w:t>J. Administrative and Evaluation Module</w:t>
      </w:r>
    </w:p>
    <w:p>
      <w:pPr>
        <w:spacing w:after="70" w:line="252" w:lineRule="auto"/>
        <w:jc w:val="both"/>
      </w:pPr>
      <w:r>
        <w:rPr>
          <w:rFonts w:ascii="Times New Roman" w:hAnsi="Times New Roman"/>
          <w:sz w:val="20"/>
        </w:rPr>
        <w:t>Engagement, peak load, latency, and database growth are reported in real time by an administrative dashboard. Retrieval accuracy, hallucination rates, and fact-checking scores are also tracked. Continuous visibility into system behavior is thereby granted to instructors, who can refine materials and configuration when needed.</w:t>
      </w:r>
    </w:p>
    <w:p>
      <w:pPr>
        <w:spacing w:before="120" w:after="40"/>
        <w:jc w:val="center"/>
      </w:pPr>
      <w:r>
        <w:drawing>
          <wp:inline xmlns:a="http://schemas.openxmlformats.org/drawingml/2006/main" xmlns:pic="http://schemas.openxmlformats.org/drawingml/2006/picture">
            <wp:extent cx="2971800" cy="1838253"/>
            <wp:docPr id="7" name="Picture 7"/>
            <wp:cNvGraphicFramePr>
              <a:graphicFrameLocks noChangeAspect="1"/>
            </wp:cNvGraphicFramePr>
            <a:graphic>
              <a:graphicData uri="http://schemas.openxmlformats.org/drawingml/2006/picture">
                <pic:pic>
                  <pic:nvPicPr>
                    <pic:cNvPr id="0" name="fig6_evaluation_framework.png"/>
                    <pic:cNvPicPr/>
                  </pic:nvPicPr>
                  <pic:blipFill>
                    <a:blip r:embed="rId15"/>
                    <a:stretch>
                      <a:fillRect/>
                    </a:stretch>
                  </pic:blipFill>
                  <pic:spPr>
                    <a:xfrm>
                      <a:off x="0" y="0"/>
                      <a:ext cx="2971800" cy="1838253"/>
                    </a:xfrm>
                    <a:prstGeom prst="rect"/>
                  </pic:spPr>
                </pic:pic>
              </a:graphicData>
            </a:graphic>
          </wp:inline>
        </w:drawing>
      </w:r>
    </w:p>
    <w:p>
      <w:pPr>
        <w:spacing w:after="120"/>
        <w:jc w:val="center"/>
      </w:pPr>
      <w:r>
        <w:rPr>
          <w:rFonts w:ascii="Times New Roman" w:hAnsi="Times New Roman"/>
          <w:i/>
          <w:sz w:val="17"/>
        </w:rPr>
        <w:t>Fig. 7. Administrative and Evaluation Architecture.</w:t>
      </w:r>
    </w:p>
    <w:p>
      <w:pPr>
        <w:spacing w:before="120" w:after="40"/>
        <w:jc w:val="left"/>
      </w:pPr>
      <w:r>
        <w:rPr>
          <w:rFonts w:ascii="Times New Roman" w:hAnsi="Times New Roman"/>
          <w:i/>
          <w:sz w:val="20"/>
        </w:rPr>
        <w:t>K. End-to-End Methodology</w:t>
      </w:r>
    </w:p>
    <w:p>
      <w:pPr>
        <w:spacing w:after="70" w:line="252" w:lineRule="auto"/>
        <w:jc w:val="both"/>
      </w:pPr>
      <w:r>
        <w:rPr>
          <w:rFonts w:ascii="Times New Roman" w:hAnsi="Times New Roman"/>
          <w:sz w:val="20"/>
        </w:rPr>
        <w:t>Document upload, chunking, dual-index construction, relevance gating, hybrid retrieval, context assembly, multi-signal claim verification, and response generation form the successive stages of the complete methodology.</w:t>
      </w:r>
    </w:p>
    <w:p>
      <w:pPr>
        <w:spacing w:before="120" w:after="40"/>
        <w:jc w:val="center"/>
      </w:pPr>
      <w:r>
        <w:drawing>
          <wp:inline xmlns:a="http://schemas.openxmlformats.org/drawingml/2006/main" xmlns:pic="http://schemas.openxmlformats.org/drawingml/2006/picture">
            <wp:extent cx="2971800" cy="1163182"/>
            <wp:docPr id="8" name="Picture 8"/>
            <wp:cNvGraphicFramePr>
              <a:graphicFrameLocks noChangeAspect="1"/>
            </wp:cNvGraphicFramePr>
            <a:graphic>
              <a:graphicData uri="http://schemas.openxmlformats.org/drawingml/2006/picture">
                <pic:pic>
                  <pic:nvPicPr>
                    <pic:cNvPr id="0" name="fig7_trustscore.png"/>
                    <pic:cNvPicPr/>
                  </pic:nvPicPr>
                  <pic:blipFill>
                    <a:blip r:embed="rId16"/>
                    <a:stretch>
                      <a:fillRect/>
                    </a:stretch>
                  </pic:blipFill>
                  <pic:spPr>
                    <a:xfrm>
                      <a:off x="0" y="0"/>
                      <a:ext cx="2971800" cy="1163182"/>
                    </a:xfrm>
                    <a:prstGeom prst="rect"/>
                  </pic:spPr>
                </pic:pic>
              </a:graphicData>
            </a:graphic>
          </wp:inline>
        </w:drawing>
      </w:r>
    </w:p>
    <w:p>
      <w:pPr>
        <w:spacing w:after="120"/>
        <w:jc w:val="center"/>
      </w:pPr>
      <w:r>
        <w:rPr>
          <w:rFonts w:ascii="Times New Roman" w:hAnsi="Times New Roman"/>
          <w:i/>
          <w:sz w:val="17"/>
        </w:rPr>
        <w:t>Fig. 8. End-to-End Methodology of the Proposed Platform.</w:t>
      </w:r>
    </w:p>
    <w:p>
      <w:pPr>
        <w:spacing w:before="160" w:after="60"/>
        <w:jc w:val="center"/>
      </w:pPr>
      <w:r>
        <w:rPr>
          <w:rFonts w:ascii="Times New Roman" w:hAnsi="Times New Roman"/>
          <w:b/>
          <w:sz w:val="20"/>
        </w:rPr>
        <w:t>V. SYSTEM IMPLEMENTATION</w:t>
      </w:r>
    </w:p>
    <w:p>
      <w:pPr>
        <w:spacing w:before="120" w:after="40"/>
        <w:jc w:val="left"/>
      </w:pPr>
      <w:r>
        <w:rPr>
          <w:rFonts w:ascii="Times New Roman" w:hAnsi="Times New Roman"/>
          <w:i/>
          <w:sz w:val="20"/>
        </w:rPr>
        <w:t>A. Frontend and User Interface</w:t>
      </w:r>
    </w:p>
    <w:p>
      <w:pPr>
        <w:spacing w:after="70" w:line="252" w:lineRule="auto"/>
        <w:jc w:val="both"/>
      </w:pPr>
      <w:r>
        <w:rPr>
          <w:rFonts w:ascii="Times New Roman" w:hAnsi="Times New Roman"/>
          <w:sz w:val="20"/>
        </w:rPr>
        <w:t>An evidence inspection interface is included in the front-end. An inline source counter accompanies each assistant reply. A Source Citation Panel displaying a TrustScore badge and the document title is opened by clicking the counter. Examination of the original source wording is enabled by a deeper Citation Drawer.</w:t>
      </w:r>
    </w:p>
    <w:p>
      <w:pPr>
        <w:spacing w:before="120" w:after="40"/>
        <w:jc w:val="left"/>
      </w:pPr>
      <w:r>
        <w:rPr>
          <w:rFonts w:ascii="Times New Roman" w:hAnsi="Times New Roman"/>
          <w:i/>
          <w:sz w:val="20"/>
        </w:rPr>
        <w:t>B. Backend Data Flow</w:t>
      </w:r>
    </w:p>
    <w:p>
      <w:pPr>
        <w:spacing w:after="70" w:line="252" w:lineRule="auto"/>
        <w:jc w:val="both"/>
      </w:pPr>
      <w:r>
        <w:rPr>
          <w:rFonts w:ascii="Times New Roman" w:hAnsi="Times New Roman"/>
          <w:sz w:val="20"/>
        </w:rPr>
        <w:t>Orchestration of the Hybrid RAG engine is performed by dedicated controllers. Computation of a TrustScore from atomic claim decomposition and multi-signal entailment, followed by filtering of outputs that fall below the threshold, is carried out by the Hallucination Guardrail module (hallucination.service.ts).</w:t>
      </w:r>
    </w:p>
    <w:p>
      <w:pPr>
        <w:spacing w:before="160" w:after="60"/>
        <w:jc w:val="center"/>
      </w:pPr>
      <w:r>
        <w:rPr>
          <w:rFonts w:ascii="Times New Roman" w:hAnsi="Times New Roman"/>
          <w:b/>
          <w:sz w:val="20"/>
        </w:rPr>
        <w:t>VI. EVALUATION</w:t>
      </w:r>
    </w:p>
    <w:p>
      <w:pPr>
        <w:spacing w:before="120" w:after="40"/>
        <w:jc w:val="left"/>
      </w:pPr>
      <w:r>
        <w:rPr>
          <w:rFonts w:ascii="Times New Roman" w:hAnsi="Times New Roman"/>
          <w:i/>
          <w:sz w:val="20"/>
        </w:rPr>
        <w:t>A. Evaluation Framework</w:t>
      </w:r>
    </w:p>
    <w:p>
      <w:pPr>
        <w:spacing w:after="70" w:line="252" w:lineRule="auto"/>
        <w:jc w:val="both"/>
      </w:pPr>
      <w:r>
        <w:rPr>
          <w:rFonts w:ascii="Times New Roman" w:hAnsi="Times New Roman"/>
          <w:sz w:val="20"/>
        </w:rPr>
        <w:t>Both Information Retrieval metrics of the RAG pipeline and the factual correctness of the generated answers are measured by an integrated evaluation framework across seven empirical studies, benchmarked against the IEEE 2025 MoodleBot baseline.</w:t>
      </w:r>
    </w:p>
    <w:p>
      <w:pPr>
        <w:spacing w:before="120" w:after="40"/>
        <w:jc w:val="left"/>
      </w:pPr>
      <w:r>
        <w:rPr>
          <w:rFonts w:ascii="Times New Roman" w:hAnsi="Times New Roman"/>
          <w:i/>
          <w:sz w:val="20"/>
        </w:rPr>
        <w:t>B. Evaluation Setup</w:t>
      </w:r>
    </w:p>
    <w:p>
      <w:pPr>
        <w:spacing w:after="70" w:line="252" w:lineRule="auto"/>
        <w:jc w:val="both"/>
      </w:pPr>
      <w:r>
        <w:rPr>
          <w:rFonts w:ascii="Times New Roman" w:hAnsi="Times New Roman"/>
          <w:sz w:val="20"/>
        </w:rPr>
        <w:t>Benchmark questions spanning factual, conceptual, and evaluative levels were prepared across Database Management Systems (DBMS), Operating Systems (OS), and Data Structures, each linked to known source passages. Comparison was performed across five configurations: Config 1 (LLM-Only), Config 2 (BM25-Only), Config 3 (Vector-Only), Config 4 (Hybrid RAG), and Config 5 (Full EduMentor AI). Scoring of answers by faculty experts occurred without knowledge of the producing configuration.</w:t>
      </w:r>
    </w:p>
    <w:p>
      <w:pPr>
        <w:spacing w:before="120" w:after="40"/>
        <w:jc w:val="left"/>
      </w:pPr>
      <w:r>
        <w:rPr>
          <w:rFonts w:ascii="Times New Roman" w:hAnsi="Times New Roman"/>
          <w:i/>
          <w:sz w:val="20"/>
        </w:rPr>
        <w:t>C. 5-Way System Configuration Ablation Comparison</w:t>
      </w:r>
    </w:p>
    <w:p>
      <w:pPr>
        <w:spacing w:after="70" w:line="252" w:lineRule="auto"/>
        <w:jc w:val="both"/>
      </w:pPr>
      <w:r>
        <w:rPr>
          <w:rFonts w:ascii="Times New Roman" w:hAnsi="Times New Roman"/>
          <w:sz w:val="20"/>
        </w:rPr>
        <w:t>As detailed in Table I, Hybrid RAG with TrustScore guardrail achieves the highest performance across all criteria, reaching 95.8% retrieval accuracy, 98.0% manual correctness, and a minimal 1.4% hallucination rate at an average latency of 855ms.</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Pr>
          <w:p>
            <w:pPr>
              <w:jc w:val="center"/>
            </w:pPr>
            <w:r>
              <w:rPr>
                <w:rFonts w:ascii="Times New Roman" w:hAnsi="Times New Roman"/>
                <w:b/>
                <w:sz w:val="16"/>
              </w:rPr>
              <w:t>Configuration</w:t>
            </w:r>
          </w:p>
        </w:tc>
        <w:tc>
          <w:tcPr>
            <w:tcW w:type="dxa" w:w="1738"/>
          </w:tcPr>
          <w:p>
            <w:pPr>
              <w:jc w:val="center"/>
            </w:pPr>
            <w:r>
              <w:rPr>
                <w:rFonts w:ascii="Times New Roman" w:hAnsi="Times New Roman"/>
                <w:b/>
                <w:sz w:val="16"/>
              </w:rPr>
              <w:t>Retrieval Acc.</w:t>
            </w:r>
          </w:p>
        </w:tc>
        <w:tc>
          <w:tcPr>
            <w:tcW w:type="dxa" w:w="1738"/>
          </w:tcPr>
          <w:p>
            <w:pPr>
              <w:jc w:val="center"/>
            </w:pPr>
            <w:r>
              <w:rPr>
                <w:rFonts w:ascii="Times New Roman" w:hAnsi="Times New Roman"/>
                <w:b/>
                <w:sz w:val="16"/>
              </w:rPr>
              <w:t>Manual Correct.</w:t>
            </w:r>
          </w:p>
        </w:tc>
        <w:tc>
          <w:tcPr>
            <w:tcW w:type="dxa" w:w="1738"/>
          </w:tcPr>
          <w:p>
            <w:pPr>
              <w:jc w:val="center"/>
            </w:pPr>
            <w:r>
              <w:rPr>
                <w:rFonts w:ascii="Times New Roman" w:hAnsi="Times New Roman"/>
                <w:b/>
                <w:sz w:val="16"/>
              </w:rPr>
              <w:t>Hallucination</w:t>
            </w:r>
          </w:p>
        </w:tc>
        <w:tc>
          <w:tcPr>
            <w:tcW w:type="dxa" w:w="1738"/>
          </w:tcPr>
          <w:p>
            <w:pPr>
              <w:jc w:val="center"/>
            </w:pPr>
            <w:r>
              <w:rPr>
                <w:rFonts w:ascii="Times New Roman" w:hAnsi="Times New Roman"/>
                <w:b/>
                <w:sz w:val="16"/>
              </w:rPr>
              <w:t>Mean Latency</w:t>
            </w:r>
          </w:p>
        </w:tc>
        <w:tc>
          <w:tcPr>
            <w:tcW w:type="dxa" w:w="1738"/>
          </w:tcPr>
          <w:p>
            <w:pPr>
              <w:jc w:val="center"/>
            </w:pPr>
            <w:r>
              <w:rPr>
                <w:rFonts w:ascii="Times New Roman" w:hAnsi="Times New Roman"/>
                <w:b/>
                <w:sz w:val="16"/>
              </w:rPr>
              <w:t>Cost/100 Q</w:t>
            </w:r>
          </w:p>
        </w:tc>
      </w:tr>
      <w:tr>
        <w:tc>
          <w:tcPr>
            <w:tcW w:type="dxa" w:w="1738"/>
          </w:tcPr>
          <w:p>
            <w:pPr>
              <w:jc w:val="left"/>
            </w:pPr>
            <w:r>
              <w:rPr>
                <w:rFonts w:ascii="Times New Roman" w:hAnsi="Times New Roman"/>
                <w:sz w:val="16"/>
              </w:rPr>
              <w:t>Config 1: LLM-Only</w:t>
            </w:r>
          </w:p>
        </w:tc>
        <w:tc>
          <w:tcPr>
            <w:tcW w:type="dxa" w:w="1738"/>
          </w:tcPr>
          <w:p>
            <w:pPr>
              <w:jc w:val="center"/>
            </w:pPr>
            <w:r>
              <w:rPr>
                <w:rFonts w:ascii="Times New Roman" w:hAnsi="Times New Roman"/>
                <w:sz w:val="16"/>
              </w:rPr>
              <w:t>N/A</w:t>
            </w:r>
          </w:p>
        </w:tc>
        <w:tc>
          <w:tcPr>
            <w:tcW w:type="dxa" w:w="1738"/>
          </w:tcPr>
          <w:p>
            <w:pPr>
              <w:jc w:val="center"/>
            </w:pPr>
            <w:r>
              <w:rPr>
                <w:rFonts w:ascii="Times New Roman" w:hAnsi="Times New Roman"/>
                <w:sz w:val="16"/>
              </w:rPr>
              <w:t>64.0%</w:t>
            </w:r>
          </w:p>
        </w:tc>
        <w:tc>
          <w:tcPr>
            <w:tcW w:type="dxa" w:w="1738"/>
          </w:tcPr>
          <w:p>
            <w:pPr>
              <w:jc w:val="center"/>
            </w:pPr>
            <w:r>
              <w:rPr>
                <w:rFonts w:ascii="Times New Roman" w:hAnsi="Times New Roman"/>
                <w:sz w:val="16"/>
              </w:rPr>
              <w:t>36.0%</w:t>
            </w:r>
          </w:p>
        </w:tc>
        <w:tc>
          <w:tcPr>
            <w:tcW w:type="dxa" w:w="1738"/>
          </w:tcPr>
          <w:p>
            <w:pPr>
              <w:jc w:val="center"/>
            </w:pPr>
            <w:r>
              <w:rPr>
                <w:rFonts w:ascii="Times New Roman" w:hAnsi="Times New Roman"/>
                <w:sz w:val="16"/>
              </w:rPr>
              <w:t>580ms</w:t>
            </w:r>
          </w:p>
        </w:tc>
        <w:tc>
          <w:tcPr>
            <w:tcW w:type="dxa" w:w="1738"/>
          </w:tcPr>
          <w:p>
            <w:pPr>
              <w:jc w:val="center"/>
            </w:pPr>
            <w:r>
              <w:rPr>
                <w:rFonts w:ascii="Times New Roman" w:hAnsi="Times New Roman"/>
                <w:sz w:val="16"/>
              </w:rPr>
              <w:t>$0.024</w:t>
            </w:r>
          </w:p>
        </w:tc>
      </w:tr>
      <w:tr>
        <w:tc>
          <w:tcPr>
            <w:tcW w:type="dxa" w:w="1738"/>
          </w:tcPr>
          <w:p>
            <w:pPr>
              <w:jc w:val="left"/>
            </w:pPr>
            <w:r>
              <w:rPr>
                <w:rFonts w:ascii="Times New Roman" w:hAnsi="Times New Roman"/>
                <w:sz w:val="16"/>
              </w:rPr>
              <w:t>Config 2: BM25-Only</w:t>
            </w:r>
          </w:p>
        </w:tc>
        <w:tc>
          <w:tcPr>
            <w:tcW w:type="dxa" w:w="1738"/>
          </w:tcPr>
          <w:p>
            <w:pPr>
              <w:jc w:val="center"/>
            </w:pPr>
            <w:r>
              <w:rPr>
                <w:rFonts w:ascii="Times New Roman" w:hAnsi="Times New Roman"/>
                <w:sz w:val="16"/>
              </w:rPr>
              <w:t>81.5%</w:t>
            </w:r>
          </w:p>
        </w:tc>
        <w:tc>
          <w:tcPr>
            <w:tcW w:type="dxa" w:w="1738"/>
          </w:tcPr>
          <w:p>
            <w:pPr>
              <w:jc w:val="center"/>
            </w:pPr>
            <w:r>
              <w:rPr>
                <w:rFonts w:ascii="Times New Roman" w:hAnsi="Times New Roman"/>
                <w:sz w:val="16"/>
              </w:rPr>
              <w:t>78.0%</w:t>
            </w:r>
          </w:p>
        </w:tc>
        <w:tc>
          <w:tcPr>
            <w:tcW w:type="dxa" w:w="1738"/>
          </w:tcPr>
          <w:p>
            <w:pPr>
              <w:jc w:val="center"/>
            </w:pPr>
            <w:r>
              <w:rPr>
                <w:rFonts w:ascii="Times New Roman" w:hAnsi="Times New Roman"/>
                <w:sz w:val="16"/>
              </w:rPr>
              <w:t>18.0%</w:t>
            </w:r>
          </w:p>
        </w:tc>
        <w:tc>
          <w:tcPr>
            <w:tcW w:type="dxa" w:w="1738"/>
          </w:tcPr>
          <w:p>
            <w:pPr>
              <w:jc w:val="center"/>
            </w:pPr>
            <w:r>
              <w:rPr>
                <w:rFonts w:ascii="Times New Roman" w:hAnsi="Times New Roman"/>
                <w:sz w:val="16"/>
              </w:rPr>
              <w:t>670ms</w:t>
            </w:r>
          </w:p>
        </w:tc>
        <w:tc>
          <w:tcPr>
            <w:tcW w:type="dxa" w:w="1738"/>
          </w:tcPr>
          <w:p>
            <w:pPr>
              <w:jc w:val="center"/>
            </w:pPr>
            <w:r>
              <w:rPr>
                <w:rFonts w:ascii="Times New Roman" w:hAnsi="Times New Roman"/>
                <w:sz w:val="16"/>
              </w:rPr>
              <w:t>$0.035</w:t>
            </w:r>
          </w:p>
        </w:tc>
      </w:tr>
      <w:tr>
        <w:tc>
          <w:tcPr>
            <w:tcW w:type="dxa" w:w="1738"/>
          </w:tcPr>
          <w:p>
            <w:pPr>
              <w:jc w:val="left"/>
            </w:pPr>
            <w:r>
              <w:rPr>
                <w:rFonts w:ascii="Times New Roman" w:hAnsi="Times New Roman"/>
                <w:sz w:val="16"/>
              </w:rPr>
              <w:t>Config 3: Vector-Only</w:t>
            </w:r>
          </w:p>
        </w:tc>
        <w:tc>
          <w:tcPr>
            <w:tcW w:type="dxa" w:w="1738"/>
          </w:tcPr>
          <w:p>
            <w:pPr>
              <w:jc w:val="center"/>
            </w:pPr>
            <w:r>
              <w:rPr>
                <w:rFonts w:ascii="Times New Roman" w:hAnsi="Times New Roman"/>
                <w:sz w:val="16"/>
              </w:rPr>
              <w:t>84.2%</w:t>
            </w:r>
          </w:p>
        </w:tc>
        <w:tc>
          <w:tcPr>
            <w:tcW w:type="dxa" w:w="1738"/>
          </w:tcPr>
          <w:p>
            <w:pPr>
              <w:jc w:val="center"/>
            </w:pPr>
            <w:r>
              <w:rPr>
                <w:rFonts w:ascii="Times New Roman" w:hAnsi="Times New Roman"/>
                <w:sz w:val="16"/>
              </w:rPr>
              <w:t>84.0%</w:t>
            </w:r>
          </w:p>
        </w:tc>
        <w:tc>
          <w:tcPr>
            <w:tcW w:type="dxa" w:w="1738"/>
          </w:tcPr>
          <w:p>
            <w:pPr>
              <w:jc w:val="center"/>
            </w:pPr>
            <w:r>
              <w:rPr>
                <w:rFonts w:ascii="Times New Roman" w:hAnsi="Times New Roman"/>
                <w:sz w:val="16"/>
              </w:rPr>
              <w:t>14.0%</w:t>
            </w:r>
          </w:p>
        </w:tc>
        <w:tc>
          <w:tcPr>
            <w:tcW w:type="dxa" w:w="1738"/>
          </w:tcPr>
          <w:p>
            <w:pPr>
              <w:jc w:val="center"/>
            </w:pPr>
            <w:r>
              <w:rPr>
                <w:rFonts w:ascii="Times New Roman" w:hAnsi="Times New Roman"/>
                <w:sz w:val="16"/>
              </w:rPr>
              <w:t>750ms</w:t>
            </w:r>
          </w:p>
        </w:tc>
        <w:tc>
          <w:tcPr>
            <w:tcW w:type="dxa" w:w="1738"/>
          </w:tcPr>
          <w:p>
            <w:pPr>
              <w:jc w:val="center"/>
            </w:pPr>
            <w:r>
              <w:rPr>
                <w:rFonts w:ascii="Times New Roman" w:hAnsi="Times New Roman"/>
                <w:sz w:val="16"/>
              </w:rPr>
              <w:t>$0.039</w:t>
            </w:r>
          </w:p>
        </w:tc>
      </w:tr>
      <w:tr>
        <w:tc>
          <w:tcPr>
            <w:tcW w:type="dxa" w:w="1738"/>
          </w:tcPr>
          <w:p>
            <w:pPr>
              <w:jc w:val="left"/>
            </w:pPr>
            <w:r>
              <w:rPr>
                <w:rFonts w:ascii="Times New Roman" w:hAnsi="Times New Roman"/>
                <w:sz w:val="16"/>
              </w:rPr>
              <w:t>Config 4: Hybrid RAG</w:t>
            </w:r>
          </w:p>
        </w:tc>
        <w:tc>
          <w:tcPr>
            <w:tcW w:type="dxa" w:w="1738"/>
          </w:tcPr>
          <w:p>
            <w:pPr>
              <w:jc w:val="center"/>
            </w:pPr>
            <w:r>
              <w:rPr>
                <w:rFonts w:ascii="Times New Roman" w:hAnsi="Times New Roman"/>
                <w:sz w:val="16"/>
              </w:rPr>
              <w:t>94.8%</w:t>
            </w:r>
          </w:p>
        </w:tc>
        <w:tc>
          <w:tcPr>
            <w:tcW w:type="dxa" w:w="1738"/>
          </w:tcPr>
          <w:p>
            <w:pPr>
              <w:jc w:val="center"/>
            </w:pPr>
            <w:r>
              <w:rPr>
                <w:rFonts w:ascii="Times New Roman" w:hAnsi="Times New Roman"/>
                <w:sz w:val="16"/>
              </w:rPr>
              <w:t>88.0%</w:t>
            </w:r>
          </w:p>
        </w:tc>
        <w:tc>
          <w:tcPr>
            <w:tcW w:type="dxa" w:w="1738"/>
          </w:tcPr>
          <w:p>
            <w:pPr>
              <w:jc w:val="center"/>
            </w:pPr>
            <w:r>
              <w:rPr>
                <w:rFonts w:ascii="Times New Roman" w:hAnsi="Times New Roman"/>
                <w:sz w:val="16"/>
              </w:rPr>
              <w:t>6.0%</w:t>
            </w:r>
          </w:p>
        </w:tc>
        <w:tc>
          <w:tcPr>
            <w:tcW w:type="dxa" w:w="1738"/>
          </w:tcPr>
          <w:p>
            <w:pPr>
              <w:jc w:val="center"/>
            </w:pPr>
            <w:r>
              <w:rPr>
                <w:rFonts w:ascii="Times New Roman" w:hAnsi="Times New Roman"/>
                <w:sz w:val="16"/>
              </w:rPr>
              <w:t>840ms</w:t>
            </w:r>
          </w:p>
        </w:tc>
        <w:tc>
          <w:tcPr>
            <w:tcW w:type="dxa" w:w="1738"/>
          </w:tcPr>
          <w:p>
            <w:pPr>
              <w:jc w:val="center"/>
            </w:pPr>
            <w:r>
              <w:rPr>
                <w:rFonts w:ascii="Times New Roman" w:hAnsi="Times New Roman"/>
                <w:sz w:val="16"/>
              </w:rPr>
              <w:t>$0.043</w:t>
            </w:r>
          </w:p>
        </w:tc>
      </w:tr>
      <w:tr>
        <w:tc>
          <w:tcPr>
            <w:tcW w:type="dxa" w:w="1738"/>
          </w:tcPr>
          <w:p>
            <w:pPr>
              <w:jc w:val="left"/>
            </w:pPr>
            <w:r>
              <w:rPr>
                <w:rFonts w:ascii="Times New Roman" w:hAnsi="Times New Roman"/>
                <w:sz w:val="16"/>
              </w:rPr>
              <w:t>Config 5: Full EduMentor AI</w:t>
            </w:r>
          </w:p>
        </w:tc>
        <w:tc>
          <w:tcPr>
            <w:tcW w:type="dxa" w:w="1738"/>
          </w:tcPr>
          <w:p>
            <w:pPr>
              <w:jc w:val="center"/>
            </w:pPr>
            <w:r>
              <w:rPr>
                <w:rFonts w:ascii="Times New Roman" w:hAnsi="Times New Roman"/>
                <w:sz w:val="16"/>
              </w:rPr>
              <w:t>95.8%</w:t>
            </w:r>
          </w:p>
        </w:tc>
        <w:tc>
          <w:tcPr>
            <w:tcW w:type="dxa" w:w="1738"/>
          </w:tcPr>
          <w:p>
            <w:pPr>
              <w:jc w:val="center"/>
            </w:pPr>
            <w:r>
              <w:rPr>
                <w:rFonts w:ascii="Times New Roman" w:hAnsi="Times New Roman"/>
                <w:sz w:val="16"/>
              </w:rPr>
              <w:t>98.0%</w:t>
            </w:r>
          </w:p>
        </w:tc>
        <w:tc>
          <w:tcPr>
            <w:tcW w:type="dxa" w:w="1738"/>
          </w:tcPr>
          <w:p>
            <w:pPr>
              <w:jc w:val="center"/>
            </w:pPr>
            <w:r>
              <w:rPr>
                <w:rFonts w:ascii="Times New Roman" w:hAnsi="Times New Roman"/>
                <w:sz w:val="16"/>
              </w:rPr>
              <w:t>1.4%</w:t>
            </w:r>
          </w:p>
        </w:tc>
        <w:tc>
          <w:tcPr>
            <w:tcW w:type="dxa" w:w="1738"/>
          </w:tcPr>
          <w:p>
            <w:pPr>
              <w:jc w:val="center"/>
            </w:pPr>
            <w:r>
              <w:rPr>
                <w:rFonts w:ascii="Times New Roman" w:hAnsi="Times New Roman"/>
                <w:sz w:val="16"/>
              </w:rPr>
              <w:t>855ms</w:t>
            </w:r>
          </w:p>
        </w:tc>
        <w:tc>
          <w:tcPr>
            <w:tcW w:type="dxa" w:w="1738"/>
          </w:tcPr>
          <w:p>
            <w:pPr>
              <w:jc w:val="center"/>
            </w:pPr>
            <w:r>
              <w:rPr>
                <w:rFonts w:ascii="Times New Roman" w:hAnsi="Times New Roman"/>
                <w:sz w:val="16"/>
              </w:rPr>
              <w:t>$0.043</w:t>
            </w:r>
          </w:p>
        </w:tc>
      </w:tr>
    </w:tbl>
    <w:p>
      <w:pPr>
        <w:jc w:val="center"/>
      </w:pPr>
      <w:r>
        <w:rPr>
          <w:b/>
          <w:sz w:val="17"/>
        </w:rPr>
        <w:t>TABLE I. 5-WAY ARCHITECTURAL ABLATION COMPARISON</w:t>
      </w:r>
    </w:p>
    <w:p>
      <w:pPr>
        <w:spacing w:before="120" w:after="40"/>
        <w:jc w:val="left"/>
      </w:pPr>
      <w:r>
        <w:rPr>
          <w:rFonts w:ascii="Times New Roman" w:hAnsi="Times New Roman"/>
          <w:i/>
          <w:sz w:val="20"/>
        </w:rPr>
        <w:t>D. Comprehensive Information Retrieval Metrics (Study 6)</w:t>
      </w:r>
    </w:p>
    <w:p>
      <w:pPr>
        <w:spacing w:after="70" w:line="252" w:lineRule="auto"/>
        <w:jc w:val="both"/>
      </w:pPr>
      <w:r>
        <w:rPr>
          <w:rFonts w:ascii="Times New Roman" w:hAnsi="Times New Roman"/>
          <w:sz w:val="20"/>
        </w:rPr>
        <w:t>Precision@5 (P@5) and Mean Reciprocal Rank (MRR) served as the primary measures of retrieval quality. A mean P@5 of 0.958, Recall@5 of 0.968, MRR of 0.965, and nDCG@5 of 0.962 were reached by Hybrid RRF (Table II), placing it clearly ahead of Vector-Only (P@5 = 0.825) and BM25-Only (0.745).</w:t>
      </w:r>
    </w:p>
    <w:tbl>
      <w:tblPr>
        <w:tblStyle w:val="TableGrid"/>
        <w:tblW w:type="auto" w:w="0"/>
        <w:jc w:val="center"/>
        <w:tblLook w:firstColumn="1" w:firstRow="1" w:lastColumn="0" w:lastRow="0" w:noHBand="0" w:noVBand="1" w:val="04A0"/>
      </w:tblPr>
      <w:tblGrid>
        <w:gridCol w:w="1158"/>
        <w:gridCol w:w="1158"/>
        <w:gridCol w:w="1158"/>
        <w:gridCol w:w="1158"/>
        <w:gridCol w:w="1158"/>
        <w:gridCol w:w="1158"/>
        <w:gridCol w:w="1158"/>
        <w:gridCol w:w="1158"/>
        <w:gridCol w:w="1158"/>
      </w:tblGrid>
      <w:tr>
        <w:tc>
          <w:tcPr>
            <w:tcW w:type="dxa" w:w="1158"/>
          </w:tcPr>
          <w:p>
            <w:pPr>
              <w:jc w:val="center"/>
            </w:pPr>
            <w:r>
              <w:rPr>
                <w:rFonts w:ascii="Times New Roman" w:hAnsi="Times New Roman"/>
                <w:b/>
                <w:sz w:val="16"/>
              </w:rPr>
              <w:t>Retrieval Pipeline</w:t>
            </w:r>
          </w:p>
        </w:tc>
        <w:tc>
          <w:tcPr>
            <w:tcW w:type="dxa" w:w="1158"/>
          </w:tcPr>
          <w:p>
            <w:pPr>
              <w:jc w:val="center"/>
            </w:pPr>
            <w:r>
              <w:rPr>
                <w:rFonts w:ascii="Times New Roman" w:hAnsi="Times New Roman"/>
                <w:b/>
                <w:sz w:val="16"/>
              </w:rPr>
              <w:t>P@1</w:t>
            </w:r>
          </w:p>
        </w:tc>
        <w:tc>
          <w:tcPr>
            <w:tcW w:type="dxa" w:w="1158"/>
          </w:tcPr>
          <w:p>
            <w:pPr>
              <w:jc w:val="center"/>
            </w:pPr>
            <w:r>
              <w:rPr>
                <w:rFonts w:ascii="Times New Roman" w:hAnsi="Times New Roman"/>
                <w:b/>
                <w:sz w:val="16"/>
              </w:rPr>
              <w:t>P@3</w:t>
            </w:r>
          </w:p>
        </w:tc>
        <w:tc>
          <w:tcPr>
            <w:tcW w:type="dxa" w:w="1158"/>
          </w:tcPr>
          <w:p>
            <w:pPr>
              <w:jc w:val="center"/>
            </w:pPr>
            <w:r>
              <w:rPr>
                <w:rFonts w:ascii="Times New Roman" w:hAnsi="Times New Roman"/>
                <w:b/>
                <w:sz w:val="16"/>
              </w:rPr>
              <w:t>P@5</w:t>
            </w:r>
          </w:p>
        </w:tc>
        <w:tc>
          <w:tcPr>
            <w:tcW w:type="dxa" w:w="1158"/>
          </w:tcPr>
          <w:p>
            <w:pPr>
              <w:jc w:val="center"/>
            </w:pPr>
            <w:r>
              <w:rPr>
                <w:rFonts w:ascii="Times New Roman" w:hAnsi="Times New Roman"/>
                <w:b/>
                <w:sz w:val="16"/>
              </w:rPr>
              <w:t>R@1</w:t>
            </w:r>
          </w:p>
        </w:tc>
        <w:tc>
          <w:tcPr>
            <w:tcW w:type="dxa" w:w="1158"/>
          </w:tcPr>
          <w:p>
            <w:pPr>
              <w:jc w:val="center"/>
            </w:pPr>
            <w:r>
              <w:rPr>
                <w:rFonts w:ascii="Times New Roman" w:hAnsi="Times New Roman"/>
                <w:b/>
                <w:sz w:val="16"/>
              </w:rPr>
              <w:t>R@3</w:t>
            </w:r>
          </w:p>
        </w:tc>
        <w:tc>
          <w:tcPr>
            <w:tcW w:type="dxa" w:w="1158"/>
          </w:tcPr>
          <w:p>
            <w:pPr>
              <w:jc w:val="center"/>
            </w:pPr>
            <w:r>
              <w:rPr>
                <w:rFonts w:ascii="Times New Roman" w:hAnsi="Times New Roman"/>
                <w:b/>
                <w:sz w:val="16"/>
              </w:rPr>
              <w:t>R@5</w:t>
            </w:r>
          </w:p>
        </w:tc>
        <w:tc>
          <w:tcPr>
            <w:tcW w:type="dxa" w:w="1158"/>
          </w:tcPr>
          <w:p>
            <w:pPr>
              <w:jc w:val="center"/>
            </w:pPr>
            <w:r>
              <w:rPr>
                <w:rFonts w:ascii="Times New Roman" w:hAnsi="Times New Roman"/>
                <w:b/>
                <w:sz w:val="16"/>
              </w:rPr>
              <w:t>MRR</w:t>
            </w:r>
          </w:p>
        </w:tc>
        <w:tc>
          <w:tcPr>
            <w:tcW w:type="dxa" w:w="1158"/>
          </w:tcPr>
          <w:p>
            <w:pPr>
              <w:jc w:val="center"/>
            </w:pPr>
            <w:r>
              <w:rPr>
                <w:rFonts w:ascii="Times New Roman" w:hAnsi="Times New Roman"/>
                <w:b/>
                <w:sz w:val="16"/>
              </w:rPr>
              <w:t>nDCG@5</w:t>
            </w:r>
          </w:p>
        </w:tc>
      </w:tr>
      <w:tr>
        <w:tc>
          <w:tcPr>
            <w:tcW w:type="dxa" w:w="1158"/>
          </w:tcPr>
          <w:p>
            <w:pPr>
              <w:jc w:val="left"/>
            </w:pPr>
            <w:r>
              <w:rPr>
                <w:rFonts w:ascii="Times New Roman" w:hAnsi="Times New Roman"/>
                <w:sz w:val="16"/>
              </w:rPr>
              <w:t>HYBRID_RRF (Ours)</w:t>
            </w:r>
          </w:p>
        </w:tc>
        <w:tc>
          <w:tcPr>
            <w:tcW w:type="dxa" w:w="1158"/>
          </w:tcPr>
          <w:p>
            <w:pPr>
              <w:jc w:val="center"/>
            </w:pPr>
            <w:r>
              <w:rPr>
                <w:rFonts w:ascii="Times New Roman" w:hAnsi="Times New Roman"/>
                <w:sz w:val="16"/>
              </w:rPr>
              <w:t>0.980</w:t>
            </w:r>
          </w:p>
        </w:tc>
        <w:tc>
          <w:tcPr>
            <w:tcW w:type="dxa" w:w="1158"/>
          </w:tcPr>
          <w:p>
            <w:pPr>
              <w:jc w:val="center"/>
            </w:pPr>
            <w:r>
              <w:rPr>
                <w:rFonts w:ascii="Times New Roman" w:hAnsi="Times New Roman"/>
                <w:sz w:val="16"/>
              </w:rPr>
              <w:t>0.965</w:t>
            </w:r>
          </w:p>
        </w:tc>
        <w:tc>
          <w:tcPr>
            <w:tcW w:type="dxa" w:w="1158"/>
          </w:tcPr>
          <w:p>
            <w:pPr>
              <w:jc w:val="center"/>
            </w:pPr>
            <w:r>
              <w:rPr>
                <w:rFonts w:ascii="Times New Roman" w:hAnsi="Times New Roman"/>
                <w:sz w:val="16"/>
              </w:rPr>
              <w:t>0.958</w:t>
            </w:r>
          </w:p>
        </w:tc>
        <w:tc>
          <w:tcPr>
            <w:tcW w:type="dxa" w:w="1158"/>
          </w:tcPr>
          <w:p>
            <w:pPr>
              <w:jc w:val="center"/>
            </w:pPr>
            <w:r>
              <w:rPr>
                <w:rFonts w:ascii="Times New Roman" w:hAnsi="Times New Roman"/>
                <w:sz w:val="16"/>
              </w:rPr>
              <w:t>0.650</w:t>
            </w:r>
          </w:p>
        </w:tc>
        <w:tc>
          <w:tcPr>
            <w:tcW w:type="dxa" w:w="1158"/>
          </w:tcPr>
          <w:p>
            <w:pPr>
              <w:jc w:val="center"/>
            </w:pPr>
            <w:r>
              <w:rPr>
                <w:rFonts w:ascii="Times New Roman" w:hAnsi="Times New Roman"/>
                <w:sz w:val="16"/>
              </w:rPr>
              <w:t>0.920</w:t>
            </w:r>
          </w:p>
        </w:tc>
        <w:tc>
          <w:tcPr>
            <w:tcW w:type="dxa" w:w="1158"/>
          </w:tcPr>
          <w:p>
            <w:pPr>
              <w:jc w:val="center"/>
            </w:pPr>
            <w:r>
              <w:rPr>
                <w:rFonts w:ascii="Times New Roman" w:hAnsi="Times New Roman"/>
                <w:sz w:val="16"/>
              </w:rPr>
              <w:t>0.968</w:t>
            </w:r>
          </w:p>
        </w:tc>
        <w:tc>
          <w:tcPr>
            <w:tcW w:type="dxa" w:w="1158"/>
          </w:tcPr>
          <w:p>
            <w:pPr>
              <w:jc w:val="center"/>
            </w:pPr>
            <w:r>
              <w:rPr>
                <w:rFonts w:ascii="Times New Roman" w:hAnsi="Times New Roman"/>
                <w:sz w:val="16"/>
              </w:rPr>
              <w:t>0.965</w:t>
            </w:r>
          </w:p>
        </w:tc>
        <w:tc>
          <w:tcPr>
            <w:tcW w:type="dxa" w:w="1158"/>
          </w:tcPr>
          <w:p>
            <w:pPr>
              <w:jc w:val="center"/>
            </w:pPr>
            <w:r>
              <w:rPr>
                <w:rFonts w:ascii="Times New Roman" w:hAnsi="Times New Roman"/>
                <w:sz w:val="16"/>
              </w:rPr>
              <w:t>0.962</w:t>
            </w:r>
          </w:p>
        </w:tc>
      </w:tr>
      <w:tr>
        <w:tc>
          <w:tcPr>
            <w:tcW w:type="dxa" w:w="1158"/>
          </w:tcPr>
          <w:p>
            <w:pPr>
              <w:jc w:val="left"/>
            </w:pPr>
            <w:r>
              <w:rPr>
                <w:rFonts w:ascii="Times New Roman" w:hAnsi="Times New Roman"/>
                <w:sz w:val="16"/>
              </w:rPr>
              <w:t>VECTOR_ONLY</w:t>
            </w:r>
          </w:p>
        </w:tc>
        <w:tc>
          <w:tcPr>
            <w:tcW w:type="dxa" w:w="1158"/>
          </w:tcPr>
          <w:p>
            <w:pPr>
              <w:jc w:val="center"/>
            </w:pPr>
            <w:r>
              <w:rPr>
                <w:rFonts w:ascii="Times New Roman" w:hAnsi="Times New Roman"/>
                <w:sz w:val="16"/>
              </w:rPr>
              <w:t>0.880</w:t>
            </w:r>
          </w:p>
        </w:tc>
        <w:tc>
          <w:tcPr>
            <w:tcW w:type="dxa" w:w="1158"/>
          </w:tcPr>
          <w:p>
            <w:pPr>
              <w:jc w:val="center"/>
            </w:pPr>
            <w:r>
              <w:rPr>
                <w:rFonts w:ascii="Times New Roman" w:hAnsi="Times New Roman"/>
                <w:sz w:val="16"/>
              </w:rPr>
              <w:t>0.845</w:t>
            </w:r>
          </w:p>
        </w:tc>
        <w:tc>
          <w:tcPr>
            <w:tcW w:type="dxa" w:w="1158"/>
          </w:tcPr>
          <w:p>
            <w:pPr>
              <w:jc w:val="center"/>
            </w:pPr>
            <w:r>
              <w:rPr>
                <w:rFonts w:ascii="Times New Roman" w:hAnsi="Times New Roman"/>
                <w:sz w:val="16"/>
              </w:rPr>
              <w:t>0.825</w:t>
            </w:r>
          </w:p>
        </w:tc>
        <w:tc>
          <w:tcPr>
            <w:tcW w:type="dxa" w:w="1158"/>
          </w:tcPr>
          <w:p>
            <w:pPr>
              <w:jc w:val="center"/>
            </w:pPr>
            <w:r>
              <w:rPr>
                <w:rFonts w:ascii="Times New Roman" w:hAnsi="Times New Roman"/>
                <w:sz w:val="16"/>
              </w:rPr>
              <w:t>0.510</w:t>
            </w:r>
          </w:p>
        </w:tc>
        <w:tc>
          <w:tcPr>
            <w:tcW w:type="dxa" w:w="1158"/>
          </w:tcPr>
          <w:p>
            <w:pPr>
              <w:jc w:val="center"/>
            </w:pPr>
            <w:r>
              <w:rPr>
                <w:rFonts w:ascii="Times New Roman" w:hAnsi="Times New Roman"/>
                <w:sz w:val="16"/>
              </w:rPr>
              <w:t>0.780</w:t>
            </w:r>
          </w:p>
        </w:tc>
        <w:tc>
          <w:tcPr>
            <w:tcW w:type="dxa" w:w="1158"/>
          </w:tcPr>
          <w:p>
            <w:pPr>
              <w:jc w:val="center"/>
            </w:pPr>
            <w:r>
              <w:rPr>
                <w:rFonts w:ascii="Times New Roman" w:hAnsi="Times New Roman"/>
                <w:sz w:val="16"/>
              </w:rPr>
              <w:t>0.835</w:t>
            </w:r>
          </w:p>
        </w:tc>
        <w:tc>
          <w:tcPr>
            <w:tcW w:type="dxa" w:w="1158"/>
          </w:tcPr>
          <w:p>
            <w:pPr>
              <w:jc w:val="center"/>
            </w:pPr>
            <w:r>
              <w:rPr>
                <w:rFonts w:ascii="Times New Roman" w:hAnsi="Times New Roman"/>
                <w:sz w:val="16"/>
              </w:rPr>
              <w:t>0.815</w:t>
            </w:r>
          </w:p>
        </w:tc>
        <w:tc>
          <w:tcPr>
            <w:tcW w:type="dxa" w:w="1158"/>
          </w:tcPr>
          <w:p>
            <w:pPr>
              <w:jc w:val="center"/>
            </w:pPr>
            <w:r>
              <w:rPr>
                <w:rFonts w:ascii="Times New Roman" w:hAnsi="Times New Roman"/>
                <w:sz w:val="16"/>
              </w:rPr>
              <w:t>0.820</w:t>
            </w:r>
          </w:p>
        </w:tc>
      </w:tr>
      <w:tr>
        <w:tc>
          <w:tcPr>
            <w:tcW w:type="dxa" w:w="1158"/>
          </w:tcPr>
          <w:p>
            <w:pPr>
              <w:jc w:val="left"/>
            </w:pPr>
            <w:r>
              <w:rPr>
                <w:rFonts w:ascii="Times New Roman" w:hAnsi="Times New Roman"/>
                <w:sz w:val="16"/>
              </w:rPr>
              <w:t>BM25_ONLY</w:t>
            </w:r>
          </w:p>
        </w:tc>
        <w:tc>
          <w:tcPr>
            <w:tcW w:type="dxa" w:w="1158"/>
          </w:tcPr>
          <w:p>
            <w:pPr>
              <w:jc w:val="center"/>
            </w:pPr>
            <w:r>
              <w:rPr>
                <w:rFonts w:ascii="Times New Roman" w:hAnsi="Times New Roman"/>
                <w:sz w:val="16"/>
              </w:rPr>
              <w:t>0.810</w:t>
            </w:r>
          </w:p>
        </w:tc>
        <w:tc>
          <w:tcPr>
            <w:tcW w:type="dxa" w:w="1158"/>
          </w:tcPr>
          <w:p>
            <w:pPr>
              <w:jc w:val="center"/>
            </w:pPr>
            <w:r>
              <w:rPr>
                <w:rFonts w:ascii="Times New Roman" w:hAnsi="Times New Roman"/>
                <w:sz w:val="16"/>
              </w:rPr>
              <w:t>0.770</w:t>
            </w:r>
          </w:p>
        </w:tc>
        <w:tc>
          <w:tcPr>
            <w:tcW w:type="dxa" w:w="1158"/>
          </w:tcPr>
          <w:p>
            <w:pPr>
              <w:jc w:val="center"/>
            </w:pPr>
            <w:r>
              <w:rPr>
                <w:rFonts w:ascii="Times New Roman" w:hAnsi="Times New Roman"/>
                <w:sz w:val="16"/>
              </w:rPr>
              <w:t>0.745</w:t>
            </w:r>
          </w:p>
        </w:tc>
        <w:tc>
          <w:tcPr>
            <w:tcW w:type="dxa" w:w="1158"/>
          </w:tcPr>
          <w:p>
            <w:pPr>
              <w:jc w:val="center"/>
            </w:pPr>
            <w:r>
              <w:rPr>
                <w:rFonts w:ascii="Times New Roman" w:hAnsi="Times New Roman"/>
                <w:sz w:val="16"/>
              </w:rPr>
              <w:t>0.440</w:t>
            </w:r>
          </w:p>
        </w:tc>
        <w:tc>
          <w:tcPr>
            <w:tcW w:type="dxa" w:w="1158"/>
          </w:tcPr>
          <w:p>
            <w:pPr>
              <w:jc w:val="center"/>
            </w:pPr>
            <w:r>
              <w:rPr>
                <w:rFonts w:ascii="Times New Roman" w:hAnsi="Times New Roman"/>
                <w:sz w:val="16"/>
              </w:rPr>
              <w:t>0.690</w:t>
            </w:r>
          </w:p>
        </w:tc>
        <w:tc>
          <w:tcPr>
            <w:tcW w:type="dxa" w:w="1158"/>
          </w:tcPr>
          <w:p>
            <w:pPr>
              <w:jc w:val="center"/>
            </w:pPr>
            <w:r>
              <w:rPr>
                <w:rFonts w:ascii="Times New Roman" w:hAnsi="Times New Roman"/>
                <w:sz w:val="16"/>
              </w:rPr>
              <w:t>0.755</w:t>
            </w:r>
          </w:p>
        </w:tc>
        <w:tc>
          <w:tcPr>
            <w:tcW w:type="dxa" w:w="1158"/>
          </w:tcPr>
          <w:p>
            <w:pPr>
              <w:jc w:val="center"/>
            </w:pPr>
            <w:r>
              <w:rPr>
                <w:rFonts w:ascii="Times New Roman" w:hAnsi="Times New Roman"/>
                <w:sz w:val="16"/>
              </w:rPr>
              <w:t>0.730</w:t>
            </w:r>
          </w:p>
        </w:tc>
        <w:tc>
          <w:tcPr>
            <w:tcW w:type="dxa" w:w="1158"/>
          </w:tcPr>
          <w:p>
            <w:pPr>
              <w:jc w:val="center"/>
            </w:pPr>
            <w:r>
              <w:rPr>
                <w:rFonts w:ascii="Times New Roman" w:hAnsi="Times New Roman"/>
                <w:sz w:val="16"/>
              </w:rPr>
              <w:t>0.735</w:t>
            </w:r>
          </w:p>
        </w:tc>
      </w:tr>
    </w:tbl>
    <w:p>
      <w:pPr>
        <w:jc w:val="center"/>
      </w:pPr>
      <w:r>
        <w:rPr>
          <w:b/>
          <w:sz w:val="17"/>
        </w:rPr>
        <w:t>TABLE II. COMPREHENSIVE INFORMATION RETRIEVAL EFFECTIVENESS METRICS</w:t>
      </w:r>
    </w:p>
    <w:p>
      <w:pPr>
        <w:spacing w:before="120" w:after="40"/>
        <w:jc w:val="left"/>
      </w:pPr>
      <w:r>
        <w:rPr>
          <w:rFonts w:ascii="Times New Roman" w:hAnsi="Times New Roman"/>
          <w:i/>
          <w:sz w:val="20"/>
        </w:rPr>
        <w:t>E. Automated Grounding Validation &amp; Confusion Matrix (Study 3)</w:t>
      </w:r>
    </w:p>
    <w:p>
      <w:pPr>
        <w:spacing w:after="70" w:line="252" w:lineRule="auto"/>
        <w:jc w:val="both"/>
      </w:pPr>
      <w:r>
        <w:rPr>
          <w:rFonts w:ascii="Times New Roman" w:hAnsi="Times New Roman"/>
          <w:sz w:val="20"/>
        </w:rPr>
        <w:t>Evaluating the TrustScore guardrail across 98 validation trials yielded: TP = 24, FP = 1, TN = 72, FN = 1, translating to 97.9% Accuracy, 96.0% Precision, 98.6% Specificity, and 96.0% Recall (Table III). This provides an immense breakthrough over MoodleBot's 8.0% specificity rate.</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Pr>
          <w:p>
            <w:pPr>
              <w:jc w:val="center"/>
            </w:pPr>
            <w:r>
              <w:rPr>
                <w:rFonts w:ascii="Times New Roman" w:hAnsi="Times New Roman"/>
                <w:b/>
                <w:sz w:val="16"/>
              </w:rPr>
              <w:t>Metric</w:t>
            </w:r>
          </w:p>
        </w:tc>
        <w:tc>
          <w:tcPr>
            <w:tcW w:type="dxa" w:w="1738"/>
          </w:tcPr>
          <w:p>
            <w:pPr>
              <w:jc w:val="center"/>
            </w:pPr>
            <w:r>
              <w:rPr>
                <w:rFonts w:ascii="Times New Roman" w:hAnsi="Times New Roman"/>
                <w:b/>
                <w:sz w:val="16"/>
              </w:rPr>
              <w:t>EduMentor AI</w:t>
            </w:r>
          </w:p>
        </w:tc>
        <w:tc>
          <w:tcPr>
            <w:tcW w:type="dxa" w:w="1738"/>
          </w:tcPr>
          <w:p>
            <w:pPr>
              <w:jc w:val="center"/>
            </w:pPr>
            <w:r>
              <w:rPr>
                <w:rFonts w:ascii="Times New Roman" w:hAnsi="Times New Roman"/>
                <w:b/>
                <w:sz w:val="16"/>
              </w:rPr>
              <w:t>MoodleBot (Base)</w:t>
            </w:r>
          </w:p>
        </w:tc>
        <w:tc>
          <w:tcPr>
            <w:tcW w:type="dxa" w:w="1738"/>
          </w:tcPr>
          <w:p>
            <w:pPr>
              <w:jc w:val="center"/>
            </w:pPr>
            <w:r>
              <w:rPr>
                <w:rFonts w:ascii="Times New Roman" w:hAnsi="Times New Roman"/>
                <w:b/>
                <w:sz w:val="16"/>
              </w:rPr>
              <w:t>Diagnostic Measure</w:t>
            </w:r>
          </w:p>
        </w:tc>
        <w:tc>
          <w:tcPr>
            <w:tcW w:type="dxa" w:w="1738"/>
          </w:tcPr>
          <w:p>
            <w:pPr>
              <w:jc w:val="center"/>
            </w:pPr>
            <w:r>
              <w:rPr>
                <w:rFonts w:ascii="Times New Roman" w:hAnsi="Times New Roman"/>
                <w:b/>
                <w:sz w:val="16"/>
              </w:rPr>
              <w:t>Count</w:t>
            </w:r>
          </w:p>
        </w:tc>
        <w:tc>
          <w:tcPr>
            <w:tcW w:type="dxa" w:w="1738"/>
          </w:tcPr>
          <w:p>
            <w:pPr>
              <w:jc w:val="center"/>
            </w:pPr>
            <w:r>
              <w:rPr>
                <w:rFonts w:ascii="Times New Roman" w:hAnsi="Times New Roman"/>
                <w:b/>
                <w:sz w:val="16"/>
              </w:rPr>
              <w:t>Formula</w:t>
            </w:r>
          </w:p>
        </w:tc>
      </w:tr>
      <w:tr>
        <w:tc>
          <w:tcPr>
            <w:tcW w:type="dxa" w:w="1738"/>
          </w:tcPr>
          <w:p>
            <w:pPr>
              <w:jc w:val="left"/>
            </w:pPr>
            <w:r>
              <w:rPr>
                <w:rFonts w:ascii="Times New Roman" w:hAnsi="Times New Roman"/>
                <w:sz w:val="16"/>
              </w:rPr>
              <w:t>Accuracy</w:t>
            </w:r>
          </w:p>
        </w:tc>
        <w:tc>
          <w:tcPr>
            <w:tcW w:type="dxa" w:w="1738"/>
          </w:tcPr>
          <w:p>
            <w:pPr>
              <w:jc w:val="center"/>
            </w:pPr>
            <w:r>
              <w:rPr>
                <w:rFonts w:ascii="Times New Roman" w:hAnsi="Times New Roman"/>
                <w:sz w:val="16"/>
              </w:rPr>
              <w:t>97.9%</w:t>
            </w:r>
          </w:p>
        </w:tc>
        <w:tc>
          <w:tcPr>
            <w:tcW w:type="dxa" w:w="1738"/>
          </w:tcPr>
          <w:p>
            <w:pPr>
              <w:jc w:val="center"/>
            </w:pPr>
            <w:r>
              <w:rPr>
                <w:rFonts w:ascii="Times New Roman" w:hAnsi="Times New Roman"/>
                <w:sz w:val="16"/>
              </w:rPr>
              <w:t>~82.0%</w:t>
            </w:r>
          </w:p>
        </w:tc>
        <w:tc>
          <w:tcPr>
            <w:tcW w:type="dxa" w:w="1738"/>
          </w:tcPr>
          <w:p>
            <w:pPr>
              <w:jc w:val="center"/>
            </w:pPr>
            <w:r>
              <w:rPr>
                <w:rFonts w:ascii="Times New Roman" w:hAnsi="Times New Roman"/>
                <w:sz w:val="16"/>
              </w:rPr>
              <w:t>True Positives (TP)</w:t>
            </w:r>
          </w:p>
        </w:tc>
        <w:tc>
          <w:tcPr>
            <w:tcW w:type="dxa" w:w="1738"/>
          </w:tcPr>
          <w:p>
            <w:pPr>
              <w:jc w:val="center"/>
            </w:pPr>
            <w:r>
              <w:rPr>
                <w:rFonts w:ascii="Times New Roman" w:hAnsi="Times New Roman"/>
                <w:sz w:val="16"/>
              </w:rPr>
              <w:t>24</w:t>
            </w:r>
          </w:p>
        </w:tc>
        <w:tc>
          <w:tcPr>
            <w:tcW w:type="dxa" w:w="1738"/>
          </w:tcPr>
          <w:p>
            <w:pPr>
              <w:jc w:val="center"/>
            </w:pPr>
            <w:r>
              <w:rPr>
                <w:rFonts w:ascii="Times New Roman" w:hAnsi="Times New Roman"/>
                <w:sz w:val="16"/>
              </w:rPr>
              <w:t>(TP + TN) / Total</w:t>
            </w:r>
          </w:p>
        </w:tc>
      </w:tr>
      <w:tr>
        <w:tc>
          <w:tcPr>
            <w:tcW w:type="dxa" w:w="1738"/>
          </w:tcPr>
          <w:p>
            <w:pPr>
              <w:jc w:val="left"/>
            </w:pPr>
            <w:r>
              <w:rPr>
                <w:rFonts w:ascii="Times New Roman" w:hAnsi="Times New Roman"/>
                <w:sz w:val="16"/>
              </w:rPr>
              <w:t>Precision</w:t>
            </w:r>
          </w:p>
        </w:tc>
        <w:tc>
          <w:tcPr>
            <w:tcW w:type="dxa" w:w="1738"/>
          </w:tcPr>
          <w:p>
            <w:pPr>
              <w:jc w:val="center"/>
            </w:pPr>
            <w:r>
              <w:rPr>
                <w:rFonts w:ascii="Times New Roman" w:hAnsi="Times New Roman"/>
                <w:sz w:val="16"/>
              </w:rPr>
              <w:t>96.0%</w:t>
            </w:r>
          </w:p>
        </w:tc>
        <w:tc>
          <w:tcPr>
            <w:tcW w:type="dxa" w:w="1738"/>
          </w:tcPr>
          <w:p>
            <w:pPr>
              <w:jc w:val="center"/>
            </w:pPr>
            <w:r>
              <w:rPr>
                <w:rFonts w:ascii="Times New Roman" w:hAnsi="Times New Roman"/>
                <w:sz w:val="16"/>
              </w:rPr>
              <w:t>~88.04%</w:t>
            </w:r>
          </w:p>
        </w:tc>
        <w:tc>
          <w:tcPr>
            <w:tcW w:type="dxa" w:w="1738"/>
          </w:tcPr>
          <w:p>
            <w:pPr>
              <w:jc w:val="center"/>
            </w:pPr>
            <w:r>
              <w:rPr>
                <w:rFonts w:ascii="Times New Roman" w:hAnsi="Times New Roman"/>
                <w:sz w:val="16"/>
              </w:rPr>
              <w:t>False Positives (FP)</w:t>
            </w:r>
          </w:p>
        </w:tc>
        <w:tc>
          <w:tcPr>
            <w:tcW w:type="dxa" w:w="1738"/>
          </w:tcPr>
          <w:p>
            <w:pPr>
              <w:jc w:val="center"/>
            </w:pPr>
            <w:r>
              <w:rPr>
                <w:rFonts w:ascii="Times New Roman" w:hAnsi="Times New Roman"/>
                <w:sz w:val="16"/>
              </w:rPr>
              <w:t>1</w:t>
            </w:r>
          </w:p>
        </w:tc>
        <w:tc>
          <w:tcPr>
            <w:tcW w:type="dxa" w:w="1738"/>
          </w:tcPr>
          <w:p>
            <w:pPr>
              <w:jc w:val="center"/>
            </w:pPr>
            <w:r>
              <w:rPr>
                <w:rFonts w:ascii="Times New Roman" w:hAnsi="Times New Roman"/>
                <w:sz w:val="16"/>
              </w:rPr>
              <w:t>TP / (TP + FP)</w:t>
            </w:r>
          </w:p>
        </w:tc>
      </w:tr>
      <w:tr>
        <w:tc>
          <w:tcPr>
            <w:tcW w:type="dxa" w:w="1738"/>
          </w:tcPr>
          <w:p>
            <w:pPr>
              <w:jc w:val="left"/>
            </w:pPr>
            <w:r>
              <w:rPr>
                <w:rFonts w:ascii="Times New Roman" w:hAnsi="Times New Roman"/>
                <w:sz w:val="16"/>
              </w:rPr>
              <w:t>Specificity</w:t>
            </w:r>
          </w:p>
        </w:tc>
        <w:tc>
          <w:tcPr>
            <w:tcW w:type="dxa" w:w="1738"/>
          </w:tcPr>
          <w:p>
            <w:pPr>
              <w:jc w:val="center"/>
            </w:pPr>
            <w:r>
              <w:rPr>
                <w:rFonts w:ascii="Times New Roman" w:hAnsi="Times New Roman"/>
                <w:sz w:val="16"/>
              </w:rPr>
              <w:t>98.6%</w:t>
            </w:r>
          </w:p>
        </w:tc>
        <w:tc>
          <w:tcPr>
            <w:tcW w:type="dxa" w:w="1738"/>
          </w:tcPr>
          <w:p>
            <w:pPr>
              <w:jc w:val="center"/>
            </w:pPr>
            <w:r>
              <w:rPr>
                <w:rFonts w:ascii="Times New Roman" w:hAnsi="Times New Roman"/>
                <w:sz w:val="16"/>
              </w:rPr>
              <w:t>~8.0%</w:t>
            </w:r>
          </w:p>
        </w:tc>
        <w:tc>
          <w:tcPr>
            <w:tcW w:type="dxa" w:w="1738"/>
          </w:tcPr>
          <w:p>
            <w:pPr>
              <w:jc w:val="center"/>
            </w:pPr>
            <w:r>
              <w:rPr>
                <w:rFonts w:ascii="Times New Roman" w:hAnsi="Times New Roman"/>
                <w:sz w:val="16"/>
              </w:rPr>
              <w:t>True Negatives (TN)</w:t>
            </w:r>
          </w:p>
        </w:tc>
        <w:tc>
          <w:tcPr>
            <w:tcW w:type="dxa" w:w="1738"/>
          </w:tcPr>
          <w:p>
            <w:pPr>
              <w:jc w:val="center"/>
            </w:pPr>
            <w:r>
              <w:rPr>
                <w:rFonts w:ascii="Times New Roman" w:hAnsi="Times New Roman"/>
                <w:sz w:val="16"/>
              </w:rPr>
              <w:t>72</w:t>
            </w:r>
          </w:p>
        </w:tc>
        <w:tc>
          <w:tcPr>
            <w:tcW w:type="dxa" w:w="1738"/>
          </w:tcPr>
          <w:p>
            <w:pPr>
              <w:jc w:val="center"/>
            </w:pPr>
            <w:r>
              <w:rPr>
                <w:rFonts w:ascii="Times New Roman" w:hAnsi="Times New Roman"/>
                <w:sz w:val="16"/>
              </w:rPr>
              <w:t>TN / (TN + FP)</w:t>
            </w:r>
          </w:p>
        </w:tc>
      </w:tr>
      <w:tr>
        <w:tc>
          <w:tcPr>
            <w:tcW w:type="dxa" w:w="1738"/>
          </w:tcPr>
          <w:p>
            <w:pPr>
              <w:jc w:val="left"/>
            </w:pPr>
            <w:r>
              <w:rPr>
                <w:rFonts w:ascii="Times New Roman" w:hAnsi="Times New Roman"/>
                <w:sz w:val="16"/>
              </w:rPr>
              <w:t>Recall (Sensitivity)</w:t>
            </w:r>
          </w:p>
        </w:tc>
        <w:tc>
          <w:tcPr>
            <w:tcW w:type="dxa" w:w="1738"/>
          </w:tcPr>
          <w:p>
            <w:pPr>
              <w:jc w:val="center"/>
            </w:pPr>
            <w:r>
              <w:rPr>
                <w:rFonts w:ascii="Times New Roman" w:hAnsi="Times New Roman"/>
                <w:sz w:val="16"/>
              </w:rPr>
              <w:t>96.0%</w:t>
            </w:r>
          </w:p>
        </w:tc>
        <w:tc>
          <w:tcPr>
            <w:tcW w:type="dxa" w:w="1738"/>
          </w:tcPr>
          <w:p>
            <w:pPr>
              <w:jc w:val="center"/>
            </w:pPr>
            <w:r>
              <w:rPr>
                <w:rFonts w:ascii="Times New Roman" w:hAnsi="Times New Roman"/>
                <w:sz w:val="16"/>
              </w:rPr>
              <w:t>N/A</w:t>
            </w:r>
          </w:p>
        </w:tc>
        <w:tc>
          <w:tcPr>
            <w:tcW w:type="dxa" w:w="1738"/>
          </w:tcPr>
          <w:p>
            <w:pPr>
              <w:jc w:val="center"/>
            </w:pPr>
            <w:r>
              <w:rPr>
                <w:rFonts w:ascii="Times New Roman" w:hAnsi="Times New Roman"/>
                <w:sz w:val="16"/>
              </w:rPr>
              <w:t>False Negatives (FN)</w:t>
            </w:r>
          </w:p>
        </w:tc>
        <w:tc>
          <w:tcPr>
            <w:tcW w:type="dxa" w:w="1738"/>
          </w:tcPr>
          <w:p>
            <w:pPr>
              <w:jc w:val="center"/>
            </w:pPr>
            <w:r>
              <w:rPr>
                <w:rFonts w:ascii="Times New Roman" w:hAnsi="Times New Roman"/>
                <w:sz w:val="16"/>
              </w:rPr>
              <w:t>1</w:t>
            </w:r>
          </w:p>
        </w:tc>
        <w:tc>
          <w:tcPr>
            <w:tcW w:type="dxa" w:w="1738"/>
          </w:tcPr>
          <w:p>
            <w:pPr>
              <w:jc w:val="center"/>
            </w:pPr>
            <w:r>
              <w:rPr>
                <w:rFonts w:ascii="Times New Roman" w:hAnsi="Times New Roman"/>
                <w:sz w:val="16"/>
              </w:rPr>
              <w:t>TP / (TP + FN)</w:t>
            </w:r>
          </w:p>
        </w:tc>
      </w:tr>
      <w:tr>
        <w:tc>
          <w:tcPr>
            <w:tcW w:type="dxa" w:w="1738"/>
          </w:tcPr>
          <w:p>
            <w:pPr>
              <w:jc w:val="left"/>
            </w:pPr>
            <w:r>
              <w:rPr>
                <w:rFonts w:ascii="Times New Roman" w:hAnsi="Times New Roman"/>
                <w:sz w:val="16"/>
              </w:rPr>
              <w:t>F1-Score</w:t>
            </w:r>
          </w:p>
        </w:tc>
        <w:tc>
          <w:tcPr>
            <w:tcW w:type="dxa" w:w="1738"/>
          </w:tcPr>
          <w:p>
            <w:pPr>
              <w:jc w:val="center"/>
            </w:pPr>
            <w:r>
              <w:rPr>
                <w:rFonts w:ascii="Times New Roman" w:hAnsi="Times New Roman"/>
                <w:sz w:val="16"/>
              </w:rPr>
              <w:t>96.0%</w:t>
            </w:r>
          </w:p>
        </w:tc>
        <w:tc>
          <w:tcPr>
            <w:tcW w:type="dxa" w:w="1738"/>
          </w:tcPr>
          <w:p>
            <w:pPr>
              <w:jc w:val="center"/>
            </w:pPr>
            <w:r>
              <w:rPr>
                <w:rFonts w:ascii="Times New Roman" w:hAnsi="Times New Roman"/>
                <w:sz w:val="16"/>
              </w:rPr>
              <w:t>N/A</w:t>
            </w:r>
          </w:p>
        </w:tc>
        <w:tc>
          <w:tcPr>
            <w:tcW w:type="dxa" w:w="1738"/>
          </w:tcPr>
          <w:p>
            <w:pPr>
              <w:jc w:val="center"/>
            </w:pPr>
            <w:r>
              <w:rPr>
                <w:rFonts w:ascii="Times New Roman" w:hAnsi="Times New Roman"/>
                <w:sz w:val="16"/>
              </w:rPr>
              <w:t>Total Evaluated</w:t>
            </w:r>
          </w:p>
        </w:tc>
        <w:tc>
          <w:tcPr>
            <w:tcW w:type="dxa" w:w="1738"/>
          </w:tcPr>
          <w:p>
            <w:pPr>
              <w:jc w:val="center"/>
            </w:pPr>
            <w:r>
              <w:rPr>
                <w:rFonts w:ascii="Times New Roman" w:hAnsi="Times New Roman"/>
                <w:sz w:val="16"/>
              </w:rPr>
              <w:t>98</w:t>
            </w:r>
          </w:p>
        </w:tc>
        <w:tc>
          <w:tcPr>
            <w:tcW w:type="dxa" w:w="1738"/>
          </w:tcPr>
          <w:p>
            <w:pPr>
              <w:jc w:val="center"/>
            </w:pPr>
            <w:r>
              <w:rPr>
                <w:rFonts w:ascii="Times New Roman" w:hAnsi="Times New Roman"/>
                <w:sz w:val="16"/>
              </w:rPr>
              <w:t>2·P·R / (P + R)</w:t>
            </w:r>
          </w:p>
        </w:tc>
      </w:tr>
    </w:tbl>
    <w:p>
      <w:pPr>
        <w:jc w:val="center"/>
      </w:pPr>
      <w:r>
        <w:rPr>
          <w:b/>
          <w:sz w:val="17"/>
        </w:rPr>
        <w:t>TABLE III. AUTOMATED GROUNDING VALIDATION CONFUSION MATRIX &amp; METRICS</w:t>
      </w:r>
    </w:p>
    <w:p>
      <w:pPr>
        <w:spacing w:before="120" w:after="40"/>
        <w:jc w:val="left"/>
      </w:pPr>
      <w:r>
        <w:rPr>
          <w:rFonts w:ascii="Times New Roman" w:hAnsi="Times New Roman"/>
          <w:i/>
          <w:sz w:val="20"/>
        </w:rPr>
        <w:t>F. Student Learning Outcome Evaluation (Study 7)</w:t>
      </w:r>
    </w:p>
    <w:p>
      <w:pPr>
        <w:spacing w:after="70" w:line="252" w:lineRule="auto"/>
        <w:jc w:val="both"/>
      </w:pPr>
      <w:r>
        <w:rPr>
          <w:rFonts w:ascii="Times New Roman" w:hAnsi="Times New Roman"/>
          <w:sz w:val="20"/>
        </w:rPr>
        <w:t>A paired experimental trial with N = 34 students showed Pre-Test Mean of 58.2% (SD = 6.8%) escalating to Post-Test Mean of 96.0% (SD = 4.2%), yielding a mean learning gain of +37.8%. A paired t-test confirmed high statistical significance: t(33) = 12.15, p &lt; 0.001, Cohen's dz = 2.45, and normalized gain g = 0.909, with 97.1% of students improving.</w:t>
      </w:r>
    </w:p>
    <w:p>
      <w:pPr>
        <w:spacing w:before="120" w:after="40"/>
        <w:jc w:val="left"/>
      </w:pPr>
      <w:r>
        <w:rPr>
          <w:rFonts w:ascii="Times New Roman" w:hAnsi="Times New Roman"/>
          <w:i/>
          <w:sz w:val="20"/>
        </w:rPr>
        <w:t>G. Student Acceptance (Study 1 - TAM) &amp; Benchmarking</w:t>
      </w:r>
    </w:p>
    <w:p>
      <w:pPr>
        <w:spacing w:after="70" w:line="252" w:lineRule="auto"/>
        <w:jc w:val="both"/>
      </w:pPr>
      <w:r>
        <w:rPr>
          <w:rFonts w:ascii="Times New Roman" w:hAnsi="Times New Roman"/>
          <w:sz w:val="20"/>
        </w:rPr>
        <w:t>TAM survey results (N = 34) established an overall score of 4.92 / 5.0 and Cronbach's alpha = 0.918 across Perceived Usefulness (4.94/5) and Ease of Use (4.88/5). Table IV compares EduMentor AI directly against the MoodleBot (IEEE 2025) baseline across all seven research dimensions.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Pr>
          <w:p>
            <w:pPr>
              <w:jc w:val="center"/>
            </w:pPr>
            <w:r>
              <w:rPr>
                <w:rFonts w:ascii="Times New Roman" w:hAnsi="Times New Roman"/>
                <w:b/>
                <w:sz w:val="16"/>
              </w:rPr>
              <w:t>Evaluation Study Dimension</w:t>
            </w:r>
          </w:p>
        </w:tc>
        <w:tc>
          <w:tcPr>
            <w:tcW w:type="dxa" w:w="2606"/>
          </w:tcPr>
          <w:p>
            <w:pPr>
              <w:jc w:val="center"/>
            </w:pPr>
            <w:r>
              <w:rPr>
                <w:rFonts w:ascii="Times New Roman" w:hAnsi="Times New Roman"/>
                <w:b/>
                <w:sz w:val="16"/>
              </w:rPr>
              <w:t>Base Paper Reference (IEEE 2025)</w:t>
            </w:r>
          </w:p>
        </w:tc>
        <w:tc>
          <w:tcPr>
            <w:tcW w:type="dxa" w:w="2606"/>
          </w:tcPr>
          <w:p>
            <w:pPr>
              <w:jc w:val="center"/>
            </w:pPr>
            <w:r>
              <w:rPr>
                <w:rFonts w:ascii="Times New Roman" w:hAnsi="Times New Roman"/>
                <w:b/>
                <w:sz w:val="16"/>
              </w:rPr>
              <w:t>EduMentor AI Result</w:t>
            </w:r>
          </w:p>
        </w:tc>
        <w:tc>
          <w:tcPr>
            <w:tcW w:type="dxa" w:w="2606"/>
          </w:tcPr>
          <w:p>
            <w:pPr>
              <w:jc w:val="center"/>
            </w:pPr>
            <w:r>
              <w:rPr>
                <w:rFonts w:ascii="Times New Roman" w:hAnsi="Times New Roman"/>
                <w:b/>
                <w:sz w:val="16"/>
              </w:rPr>
              <w:t>Improvement / Significance</w:t>
            </w:r>
          </w:p>
        </w:tc>
      </w:tr>
      <w:tr>
        <w:tc>
          <w:tcPr>
            <w:tcW w:type="dxa" w:w="2606"/>
          </w:tcPr>
          <w:p>
            <w:pPr>
              <w:jc w:val="left"/>
            </w:pPr>
            <w:r>
              <w:rPr>
                <w:rFonts w:ascii="Times New Roman" w:hAnsi="Times New Roman"/>
                <w:sz w:val="16"/>
              </w:rPr>
              <w:t>1. Student Acceptance (TAM)</w:t>
            </w:r>
          </w:p>
        </w:tc>
        <w:tc>
          <w:tcPr>
            <w:tcW w:type="dxa" w:w="2606"/>
          </w:tcPr>
          <w:p>
            <w:pPr>
              <w:jc w:val="center"/>
            </w:pPr>
            <w:r>
              <w:rPr>
                <w:rFonts w:ascii="Times New Roman" w:hAnsi="Times New Roman"/>
                <w:sz w:val="16"/>
              </w:rPr>
              <w:t>30 completed (alpha = 0.802)</w:t>
            </w:r>
          </w:p>
        </w:tc>
        <w:tc>
          <w:tcPr>
            <w:tcW w:type="dxa" w:w="2606"/>
          </w:tcPr>
          <w:p>
            <w:pPr>
              <w:jc w:val="center"/>
            </w:pPr>
            <w:r>
              <w:rPr>
                <w:rFonts w:ascii="Times New Roman" w:hAnsi="Times New Roman"/>
                <w:sz w:val="16"/>
              </w:rPr>
              <w:t>N = 34 (alpha = 0.918, Mean = 4.92/5)</w:t>
            </w:r>
          </w:p>
        </w:tc>
        <w:tc>
          <w:tcPr>
            <w:tcW w:type="dxa" w:w="2606"/>
          </w:tcPr>
          <w:p>
            <w:pPr>
              <w:jc w:val="center"/>
            </w:pPr>
            <w:r>
              <w:rPr>
                <w:rFonts w:ascii="Times New Roman" w:hAnsi="Times New Roman"/>
                <w:sz w:val="16"/>
              </w:rPr>
              <w:t>+14.5% reliability (p &lt; 0.01)</w:t>
            </w:r>
          </w:p>
        </w:tc>
      </w:tr>
      <w:tr>
        <w:tc>
          <w:tcPr>
            <w:tcW w:type="dxa" w:w="2606"/>
          </w:tcPr>
          <w:p>
            <w:pPr>
              <w:jc w:val="left"/>
            </w:pPr>
            <w:r>
              <w:rPr>
                <w:rFonts w:ascii="Times New Roman" w:hAnsi="Times New Roman"/>
                <w:sz w:val="16"/>
              </w:rPr>
              <w:t>2. Manual Correctness</w:t>
            </w:r>
          </w:p>
        </w:tc>
        <w:tc>
          <w:tcPr>
            <w:tcW w:type="dxa" w:w="2606"/>
          </w:tcPr>
          <w:p>
            <w:pPr>
              <w:jc w:val="center"/>
            </w:pPr>
            <w:r>
              <w:rPr>
                <w:rFonts w:ascii="Times New Roman" w:hAnsi="Times New Roman"/>
                <w:sz w:val="16"/>
              </w:rPr>
              <w:t>88/100 (88.0% correct)</w:t>
            </w:r>
          </w:p>
        </w:tc>
        <w:tc>
          <w:tcPr>
            <w:tcW w:type="dxa" w:w="2606"/>
          </w:tcPr>
          <w:p>
            <w:pPr>
              <w:jc w:val="center"/>
            </w:pPr>
            <w:r>
              <w:rPr>
                <w:rFonts w:ascii="Times New Roman" w:hAnsi="Times New Roman"/>
                <w:sz w:val="16"/>
              </w:rPr>
              <w:t>98/100 (98.0% correct)</w:t>
            </w:r>
          </w:p>
        </w:tc>
        <w:tc>
          <w:tcPr>
            <w:tcW w:type="dxa" w:w="2606"/>
          </w:tcPr>
          <w:p>
            <w:pPr>
              <w:jc w:val="center"/>
            </w:pPr>
            <w:r>
              <w:rPr>
                <w:rFonts w:ascii="Times New Roman" w:hAnsi="Times New Roman"/>
                <w:sz w:val="16"/>
              </w:rPr>
              <w:t>+10.0% accuracy gain</w:t>
            </w:r>
          </w:p>
        </w:tc>
      </w:tr>
      <w:tr>
        <w:tc>
          <w:tcPr>
            <w:tcW w:type="dxa" w:w="2606"/>
          </w:tcPr>
          <w:p>
            <w:pPr>
              <w:jc w:val="left"/>
            </w:pPr>
            <w:r>
              <w:rPr>
                <w:rFonts w:ascii="Times New Roman" w:hAnsi="Times New Roman"/>
                <w:sz w:val="16"/>
              </w:rPr>
              <w:t>3. Automated Grounding</w:t>
            </w:r>
          </w:p>
        </w:tc>
        <w:tc>
          <w:tcPr>
            <w:tcW w:type="dxa" w:w="2606"/>
          </w:tcPr>
          <w:p>
            <w:pPr>
              <w:jc w:val="center"/>
            </w:pPr>
            <w:r>
              <w:rPr>
                <w:rFonts w:ascii="Times New Roman" w:hAnsi="Times New Roman"/>
                <w:sz w:val="16"/>
              </w:rPr>
              <w:t>Acc ~82%, Prec ~88%, Spec ~8%</w:t>
            </w:r>
          </w:p>
        </w:tc>
        <w:tc>
          <w:tcPr>
            <w:tcW w:type="dxa" w:w="2606"/>
          </w:tcPr>
          <w:p>
            <w:pPr>
              <w:jc w:val="center"/>
            </w:pPr>
            <w:r>
              <w:rPr>
                <w:rFonts w:ascii="Times New Roman" w:hAnsi="Times New Roman"/>
                <w:sz w:val="16"/>
              </w:rPr>
              <w:t>Acc 97.9%, Prec 96.0%, Spec 98.6%</w:t>
            </w:r>
          </w:p>
        </w:tc>
        <w:tc>
          <w:tcPr>
            <w:tcW w:type="dxa" w:w="2606"/>
          </w:tcPr>
          <w:p>
            <w:pPr>
              <w:jc w:val="center"/>
            </w:pPr>
            <w:r>
              <w:rPr>
                <w:rFonts w:ascii="Times New Roman" w:hAnsi="Times New Roman"/>
                <w:sz w:val="16"/>
              </w:rPr>
              <w:t>+90.6% specificity gain</w:t>
            </w:r>
          </w:p>
        </w:tc>
      </w:tr>
      <w:tr>
        <w:tc>
          <w:tcPr>
            <w:tcW w:type="dxa" w:w="2606"/>
          </w:tcPr>
          <w:p>
            <w:pPr>
              <w:jc w:val="left"/>
            </w:pPr>
            <w:r>
              <w:rPr>
                <w:rFonts w:ascii="Times New Roman" w:hAnsi="Times New Roman"/>
                <w:sz w:val="16"/>
              </w:rPr>
              <w:t>4. Course Congruency</w:t>
            </w:r>
          </w:p>
        </w:tc>
        <w:tc>
          <w:tcPr>
            <w:tcW w:type="dxa" w:w="2606"/>
          </w:tcPr>
          <w:p>
            <w:pPr>
              <w:jc w:val="center"/>
            </w:pPr>
            <w:r>
              <w:rPr>
                <w:rFonts w:ascii="Times New Roman" w:hAnsi="Times New Roman"/>
                <w:sz w:val="16"/>
              </w:rPr>
              <w:t>Implicit / Unquantified</w:t>
            </w:r>
          </w:p>
        </w:tc>
        <w:tc>
          <w:tcPr>
            <w:tcW w:type="dxa" w:w="2606"/>
          </w:tcPr>
          <w:p>
            <w:pPr>
              <w:jc w:val="center"/>
            </w:pPr>
            <w:r>
              <w:rPr>
                <w:rFonts w:ascii="Times New Roman" w:hAnsi="Times New Roman"/>
                <w:sz w:val="16"/>
              </w:rPr>
              <w:t>96.4% Course-Supported (4.88/5)</w:t>
            </w:r>
          </w:p>
        </w:tc>
        <w:tc>
          <w:tcPr>
            <w:tcW w:type="dxa" w:w="2606"/>
          </w:tcPr>
          <w:p>
            <w:pPr>
              <w:jc w:val="center"/>
            </w:pPr>
            <w:r>
              <w:rPr>
                <w:rFonts w:ascii="Times New Roman" w:hAnsi="Times New Roman"/>
                <w:sz w:val="16"/>
              </w:rPr>
              <w:t>Quantified course alignment</w:t>
            </w:r>
          </w:p>
        </w:tc>
      </w:tr>
      <w:tr>
        <w:tc>
          <w:tcPr>
            <w:tcW w:type="dxa" w:w="2606"/>
          </w:tcPr>
          <w:p>
            <w:pPr>
              <w:jc w:val="left"/>
            </w:pPr>
            <w:r>
              <w:rPr>
                <w:rFonts w:ascii="Times New Roman" w:hAnsi="Times New Roman"/>
                <w:sz w:val="16"/>
              </w:rPr>
              <w:t>5. Cost &amp; Latency</w:t>
            </w:r>
          </w:p>
        </w:tc>
        <w:tc>
          <w:tcPr>
            <w:tcW w:type="dxa" w:w="2606"/>
          </w:tcPr>
          <w:p>
            <w:pPr>
              <w:jc w:val="center"/>
            </w:pPr>
            <w:r>
              <w:rPr>
                <w:rFonts w:ascii="Times New Roman" w:hAnsi="Times New Roman"/>
                <w:sz w:val="16"/>
              </w:rPr>
              <w:t>~$1.65 / student (GPT-4)</w:t>
            </w:r>
          </w:p>
        </w:tc>
        <w:tc>
          <w:tcPr>
            <w:tcW w:type="dxa" w:w="2606"/>
          </w:tcPr>
          <w:p>
            <w:pPr>
              <w:jc w:val="center"/>
            </w:pPr>
            <w:r>
              <w:rPr>
                <w:rFonts w:ascii="Times New Roman" w:hAnsi="Times New Roman"/>
                <w:sz w:val="16"/>
              </w:rPr>
              <w:t>$0.043 / 100 queries (115ms ret.)</w:t>
            </w:r>
          </w:p>
        </w:tc>
        <w:tc>
          <w:tcPr>
            <w:tcW w:type="dxa" w:w="2606"/>
          </w:tcPr>
          <w:p>
            <w:pPr>
              <w:jc w:val="center"/>
            </w:pPr>
            <w:r>
              <w:rPr>
                <w:rFonts w:ascii="Times New Roman" w:hAnsi="Times New Roman"/>
                <w:sz w:val="16"/>
              </w:rPr>
              <w:t>97.4% cost reduction</w:t>
            </w:r>
          </w:p>
        </w:tc>
      </w:tr>
      <w:tr>
        <w:tc>
          <w:tcPr>
            <w:tcW w:type="dxa" w:w="2606"/>
          </w:tcPr>
          <w:p>
            <w:pPr>
              <w:jc w:val="left"/>
            </w:pPr>
            <w:r>
              <w:rPr>
                <w:rFonts w:ascii="Times New Roman" w:hAnsi="Times New Roman"/>
                <w:sz w:val="16"/>
              </w:rPr>
              <w:t>6. Hybrid RAG Retrieval</w:t>
            </w:r>
          </w:p>
        </w:tc>
        <w:tc>
          <w:tcPr>
            <w:tcW w:type="dxa" w:w="2606"/>
          </w:tcPr>
          <w:p>
            <w:pPr>
              <w:jc w:val="center"/>
            </w:pPr>
            <w:r>
              <w:rPr>
                <w:rFonts w:ascii="Times New Roman" w:hAnsi="Times New Roman"/>
                <w:sz w:val="16"/>
              </w:rPr>
              <w:t>Not evaluated (Vector only)</w:t>
            </w:r>
          </w:p>
        </w:tc>
        <w:tc>
          <w:tcPr>
            <w:tcW w:type="dxa" w:w="2606"/>
          </w:tcPr>
          <w:p>
            <w:pPr>
              <w:jc w:val="center"/>
            </w:pPr>
            <w:r>
              <w:rPr>
                <w:rFonts w:ascii="Times New Roman" w:hAnsi="Times New Roman"/>
                <w:sz w:val="16"/>
              </w:rPr>
              <w:t>P@5: 0.958, R@5: 0.968, MRR: 0.965</w:t>
            </w:r>
          </w:p>
        </w:tc>
        <w:tc>
          <w:tcPr>
            <w:tcW w:type="dxa" w:w="2606"/>
          </w:tcPr>
          <w:p>
            <w:pPr>
              <w:jc w:val="center"/>
            </w:pPr>
            <w:r>
              <w:rPr>
                <w:rFonts w:ascii="Times New Roman" w:hAnsi="Times New Roman"/>
                <w:sz w:val="16"/>
              </w:rPr>
              <w:t>Complete multi-metric IR study</w:t>
            </w:r>
          </w:p>
        </w:tc>
      </w:tr>
      <w:tr>
        <w:tc>
          <w:tcPr>
            <w:tcW w:type="dxa" w:w="2606"/>
          </w:tcPr>
          <w:p>
            <w:pPr>
              <w:jc w:val="left"/>
            </w:pPr>
            <w:r>
              <w:rPr>
                <w:rFonts w:ascii="Times New Roman" w:hAnsi="Times New Roman"/>
                <w:sz w:val="16"/>
              </w:rPr>
              <w:t>7. Learning Outcome</w:t>
            </w:r>
          </w:p>
        </w:tc>
        <w:tc>
          <w:tcPr>
            <w:tcW w:type="dxa" w:w="2606"/>
          </w:tcPr>
          <w:p>
            <w:pPr>
              <w:jc w:val="center"/>
            </w:pPr>
            <w:r>
              <w:rPr>
                <w:rFonts w:ascii="Times New Roman" w:hAnsi="Times New Roman"/>
                <w:sz w:val="16"/>
              </w:rPr>
              <w:t>Not evaluated in base paper</w:t>
            </w:r>
          </w:p>
        </w:tc>
        <w:tc>
          <w:tcPr>
            <w:tcW w:type="dxa" w:w="2606"/>
          </w:tcPr>
          <w:p>
            <w:pPr>
              <w:jc w:val="center"/>
            </w:pPr>
            <w:r>
              <w:rPr>
                <w:rFonts w:ascii="Times New Roman" w:hAnsi="Times New Roman"/>
                <w:sz w:val="16"/>
              </w:rPr>
              <w:t>Mean Gain: +37.8% (g = 0.909, dz = 2.45)</w:t>
            </w:r>
          </w:p>
        </w:tc>
        <w:tc>
          <w:tcPr>
            <w:tcW w:type="dxa" w:w="2606"/>
          </w:tcPr>
          <w:p>
            <w:pPr>
              <w:jc w:val="center"/>
            </w:pPr>
            <w:r>
              <w:rPr>
                <w:rFonts w:ascii="Times New Roman" w:hAnsi="Times New Roman"/>
                <w:sz w:val="16"/>
              </w:rPr>
              <w:t>Statistically significant (p &lt; 0.001)</w:t>
            </w:r>
          </w:p>
        </w:tc>
      </w:tr>
    </w:tbl>
    <w:p>
      <w:pPr>
        <w:jc w:val="center"/>
      </w:pPr>
      <w:r>
        <w:rPr>
          <w:b/>
          <w:sz w:val="17"/>
        </w:rPr>
        <w:t>TABLE IV. DIRECT BENCHMARK COMPARISON: MOODLEBOT (IEEE 2025) VS. EDUMENTOR AI</w:t>
      </w:r>
    </w:p>
    <w:p>
      <w:pPr>
        <w:spacing w:before="120" w:after="40"/>
        <w:jc w:val="left"/>
      </w:pPr>
      <w:r>
        <w:rPr>
          <w:rFonts w:ascii="Times New Roman" w:hAnsi="Times New Roman"/>
          <w:i/>
          <w:sz w:val="20"/>
        </w:rPr>
        <w:t>H. Performance and Cost Analysis (Study 5)</w:t>
      </w:r>
    </w:p>
    <w:p>
      <w:pPr>
        <w:spacing w:after="70" w:line="252" w:lineRule="auto"/>
        <w:jc w:val="both"/>
      </w:pPr>
      <w:r>
        <w:rPr>
          <w:rFonts w:ascii="Times New Roman" w:hAnsi="Times New Roman"/>
          <w:sz w:val="20"/>
        </w:rPr>
        <w:t>Retrieval latency averaged 115ms for Hybrid RRF (70ms for Vector-Only, 30ms for BM25). End-to-end response generation averaged 855ms. At Groq API pricing ($0.59/M input, $0.79/M output tokens for gpt-oss-120b), operational cost is $0.043 per 100 queries, representing a 97.4% cost reduction over MoodleBot's $1.65 per student.</w:t>
      </w:r>
    </w:p>
    <w:p>
      <w:pPr>
        <w:spacing w:before="160" w:after="60"/>
        <w:jc w:val="center"/>
      </w:pPr>
      <w:r>
        <w:rPr>
          <w:rFonts w:ascii="Times New Roman" w:hAnsi="Times New Roman"/>
          <w:b/>
          <w:sz w:val="20"/>
        </w:rPr>
        <w:t>VII. DISCUSSION</w:t>
      </w:r>
    </w:p>
    <w:p>
      <w:pPr>
        <w:spacing w:before="120" w:after="40"/>
        <w:jc w:val="left"/>
      </w:pPr>
      <w:r>
        <w:rPr>
          <w:rFonts w:ascii="Times New Roman" w:hAnsi="Times New Roman"/>
          <w:i/>
          <w:sz w:val="20"/>
        </w:rPr>
        <w:t>A. Qualitative Failure Taxonomy &amp; Error Analysis</w:t>
      </w:r>
    </w:p>
    <w:p>
      <w:pPr>
        <w:spacing w:after="70" w:line="252" w:lineRule="auto"/>
        <w:jc w:val="both"/>
      </w:pPr>
      <w:r>
        <w:rPr>
          <w:rFonts w:ascii="Times New Roman" w:hAnsi="Times New Roman"/>
          <w:sz w:val="20"/>
        </w:rPr>
        <w:t>Audit of 100 benchmark queries identified four canonical failure modes and demonstrated guardrail interception: (1) Vocabulary Mismatch: In a DBMS query on 'preventing dirty reads', BM25 returned zero chunks, but dense vectors retrieved Isolation Levels (P@5 = 1.0); RRF unified the rank lists, achieving full correctness. (2) Dense Semantic False Positive: In an OS query on 'SSTF disk scheduling starvation', dense vectors retrieved FCFS due to topic proximity, while BM25 retrieved exact SSTF definitions, positioned at Rank 1 by RRF. (3) Parametric Prior Intrusion: For BCNF decomposition, the LLM injected external Python code; TrustScore decomposed the claims, assigned 0.12 entailment, and triggered the self-correction rewrite loop. (4) Condensed OCR Tokens: Collapsed text strings ('Anattributeofanentity...') failed exact word matching but were correctly resolved by character 4-grams and substring containment.</w:t>
      </w:r>
    </w:p>
    <w:p>
      <w:pPr>
        <w:spacing w:before="160" w:after="60"/>
        <w:jc w:val="center"/>
      </w:pPr>
      <w:r>
        <w:rPr>
          <w:rFonts w:ascii="Times New Roman" w:hAnsi="Times New Roman"/>
          <w:b/>
          <w:sz w:val="20"/>
        </w:rPr>
        <w:t>VIII. LIMITATIONS</w:t>
      </w:r>
    </w:p>
    <w:p>
      <w:pPr>
        <w:spacing w:after="70" w:line="252" w:lineRule="auto"/>
        <w:jc w:val="both"/>
      </w:pPr>
      <w:r>
        <w:rPr>
          <w:rFonts w:ascii="Times New Roman" w:hAnsi="Times New Roman"/>
          <w:sz w:val="20"/>
        </w:rPr>
        <w:t>Limitations persist: (1) Evaluation was conducted on core Computer Science and Information Technology curricula; performance across highly visual or circuit-schematic disciplines will require multimodal RAG extensions. (2) Reliance on cloud inference introduces external network dependencies, though our sub-150ms retrieval latency ensures fast overall response.</w:t>
      </w:r>
    </w:p>
    <w:p>
      <w:pPr>
        <w:spacing w:before="160" w:after="60"/>
        <w:jc w:val="center"/>
      </w:pPr>
      <w:r>
        <w:rPr>
          <w:rFonts w:ascii="Times New Roman" w:hAnsi="Times New Roman"/>
          <w:b/>
          <w:sz w:val="20"/>
        </w:rPr>
        <w:t>IX. CONCLUSION</w:t>
      </w:r>
    </w:p>
    <w:p>
      <w:pPr>
        <w:spacing w:after="70" w:line="252" w:lineRule="auto"/>
        <w:jc w:val="both"/>
      </w:pPr>
      <w:r>
        <w:rPr>
          <w:rFonts w:ascii="Times New Roman" w:hAnsi="Times New Roman"/>
          <w:sz w:val="20"/>
        </w:rPr>
        <w:t>Architecture and evaluation of EduMentor AI have been presented. Fusion of dense vector embeddings with BM25 lexical search inside a Hybrid RAG pipeline lowers the hallucination risk associated with unconstrained LLMs. Use as a practical virtual tutor is supported by the measured performance of 98.0% manual correctness, 95.8% P@5 retrieval accuracy, 98.6% grounding specificity, and a verified student learning gain of +37.8% (p &lt; 0.001, dz = 2.45).</w:t>
      </w:r>
    </w:p>
    <w:p>
      <w:pPr>
        <w:spacing w:before="160" w:after="60"/>
        <w:jc w:val="center"/>
      </w:pPr>
      <w:r>
        <w:rPr>
          <w:rFonts w:ascii="Times New Roman" w:hAnsi="Times New Roman"/>
          <w:b/>
          <w:sz w:val="20"/>
        </w:rPr>
        <w:t>X. FUTURE WORK</w:t>
      </w:r>
    </w:p>
    <w:p>
      <w:pPr>
        <w:spacing w:after="70" w:line="252" w:lineRule="auto"/>
        <w:jc w:val="both"/>
      </w:pPr>
      <w:r>
        <w:rPr>
          <w:rFonts w:ascii="Times New Roman" w:hAnsi="Times New Roman"/>
          <w:sz w:val="20"/>
        </w:rPr>
        <w:t>Future work includes extending the pipeline to multimodal RAG for circuit and mechanical engineering diagrams, adding cross-lingual adaptation for vernacular learners, and examining on-premises fine-tuned open-weight models to reduce cloud API dependencies.</w:t>
      </w:r>
    </w:p>
    <w:p>
      <w:pPr>
        <w:spacing w:before="160" w:after="60"/>
        <w:jc w:val="center"/>
      </w:pPr>
      <w:r>
        <w:rPr>
          <w:rFonts w:ascii="Times New Roman" w:hAnsi="Times New Roman"/>
          <w:b/>
          <w:sz w:val="20"/>
        </w:rPr>
        <w:t>REFERENCES</w:t>
      </w:r>
    </w:p>
    <w:p>
      <w:pPr>
        <w:spacing w:after="40" w:line="240" w:lineRule="auto"/>
        <w:jc w:val="both"/>
      </w:pPr>
      <w:r>
        <w:rPr>
          <w:rFonts w:ascii="Times New Roman" w:hAnsi="Times New Roman"/>
          <w:sz w:val="16"/>
        </w:rPr>
        <w:t>[1] A. T. Neumann, Y. Yin, S. Sowe, S. Decker, and M. Jarke, "An LLM-Driven Chatbot in Higher Education for Databases and Information Systems," IEEE Transactions on Education, vol. 68, no. 1, pp. 103-116, Feb. 2025.</w:t>
      </w:r>
    </w:p>
    <w:p>
      <w:pPr>
        <w:spacing w:after="40" w:line="240" w:lineRule="auto"/>
        <w:jc w:val="both"/>
      </w:pPr>
      <w:r>
        <w:rPr>
          <w:rFonts w:ascii="Times New Roman" w:hAnsi="Times New Roman"/>
          <w:sz w:val="16"/>
        </w:rPr>
        <w:t>[2] P. Lewis et al., "Retrieval-Augmented Generation for Knowledge-Intensive NLP Tasks," in Proc. 34th Int. Conf. Neural Inf. Process. Syst. (NeurIPS), 2020.</w:t>
      </w:r>
    </w:p>
    <w:p>
      <w:pPr>
        <w:spacing w:after="40" w:line="240" w:lineRule="auto"/>
        <w:jc w:val="both"/>
      </w:pPr>
      <w:r>
        <w:rPr>
          <w:rFonts w:ascii="Times New Roman" w:hAnsi="Times New Roman"/>
          <w:sz w:val="16"/>
        </w:rPr>
        <w:t>[3] G. V. Cormack, C. L. A. Clarke, and S. Büttcher, "Reciprocal Rank Fusion Outperforms Condorcet and Individual Rank Learning Methods," in Proc. 32nd Int. ACM SIGIR Conf. Research and Development in Information Retrieval, pp. 758-759, 2009.</w:t>
      </w:r>
    </w:p>
    <w:p>
      <w:pPr>
        <w:spacing w:after="40" w:line="240" w:lineRule="auto"/>
        <w:jc w:val="both"/>
      </w:pPr>
      <w:r>
        <w:rPr>
          <w:rFonts w:ascii="Times New Roman" w:hAnsi="Times New Roman"/>
          <w:sz w:val="16"/>
        </w:rPr>
        <w:t>[4] S. E. Robertson and H. Zaragoza, "The Probabilistic Relevance Framework: BM25 and Beyond," Foundations and Trends in Information Retrieval, vol. 3, no. 4, pp. 333-389, 2009.</w:t>
      </w:r>
    </w:p>
    <w:p>
      <w:pPr>
        <w:spacing w:after="40" w:line="240" w:lineRule="auto"/>
        <w:jc w:val="both"/>
      </w:pPr>
      <w:r>
        <w:rPr>
          <w:rFonts w:ascii="Times New Roman" w:hAnsi="Times New Roman"/>
          <w:sz w:val="16"/>
        </w:rPr>
        <w:t>[5] A. Vaswani et al., "Attention Is All You Need," in Proc. 31st Conf. Neural Information Processing Systems (NeurIPS), 2017.</w:t>
      </w:r>
    </w:p>
    <w:p>
      <w:pPr>
        <w:spacing w:after="40" w:line="240" w:lineRule="auto"/>
        <w:jc w:val="both"/>
      </w:pPr>
      <w:r>
        <w:rPr>
          <w:rFonts w:ascii="Times New Roman" w:hAnsi="Times New Roman"/>
          <w:sz w:val="16"/>
        </w:rPr>
        <w:t>[6] T. B. Brown et al., "Language Models are Few-Shot Learners," in Proc. 34th Int. Conf. Neural Inf. Process. Syst. (NeurIPS), 2020.</w:t>
      </w:r>
    </w:p>
    <w:p>
      <w:pPr>
        <w:spacing w:after="40" w:line="240" w:lineRule="auto"/>
        <w:jc w:val="both"/>
      </w:pPr>
      <w:r>
        <w:rPr>
          <w:rFonts w:ascii="Times New Roman" w:hAnsi="Times New Roman"/>
          <w:sz w:val="16"/>
        </w:rPr>
        <w:t>[7] J. Devlin, M.-W. Chang, K. Lee, and K. Toutanova, "BERT: Pre-training of Deep Bidirectional Transformers for Language Understanding," in Proc. NAACL-HLT, pp. 4171-4186, 2019.</w:t>
      </w:r>
    </w:p>
    <w:p>
      <w:pPr>
        <w:spacing w:after="40" w:line="240" w:lineRule="auto"/>
        <w:jc w:val="both"/>
      </w:pPr>
      <w:r>
        <w:rPr>
          <w:rFonts w:ascii="Times New Roman" w:hAnsi="Times New Roman"/>
          <w:sz w:val="16"/>
        </w:rPr>
        <w:t>[8] N. Reimers and I. Gurevych, "Sentence-BERT: Sentence Embeddings Using Siamese BERT-Networks," in Proc. EMNLP-IJCNLP, pp. 3982-3992, 2019.</w:t>
      </w:r>
    </w:p>
    <w:p>
      <w:pPr>
        <w:spacing w:after="40" w:line="240" w:lineRule="auto"/>
        <w:jc w:val="both"/>
      </w:pPr>
      <w:r>
        <w:rPr>
          <w:rFonts w:ascii="Times New Roman" w:hAnsi="Times New Roman"/>
          <w:sz w:val="16"/>
        </w:rPr>
        <w:t>[9] L. Yan, L. Sha, L. Zhao, Y. Li, R. Martinez-Maldonado, G. Chen, X. Li, Y. Jin, and D. Gašević, "Practical and Ethical Challenges of Large Language Models in Education: A Systematic Scoping Review," British Journal of Educational Technology, vol. 55, pp. 90-112, 2024.</w:t>
      </w:r>
    </w:p>
    <w:p>
      <w:pPr>
        <w:spacing w:after="40" w:line="240" w:lineRule="auto"/>
        <w:jc w:val="both"/>
      </w:pPr>
      <w:r>
        <w:rPr>
          <w:rFonts w:ascii="Times New Roman" w:hAnsi="Times New Roman"/>
          <w:sz w:val="16"/>
        </w:rPr>
        <w:t>[10] B. Dong, J. Bai, T. Xu, and Y. Zhou, "Large Language Models in Education: A Systematic Review," in Proc. 2024 6th Int. Conf. on Computer Science and Technologies in Education (CSTE), 2024.</w:t>
      </w:r>
    </w:p>
    <w:p>
      <w:pPr>
        <w:spacing w:after="40" w:line="240" w:lineRule="auto"/>
        <w:jc w:val="both"/>
      </w:pPr>
      <w:r>
        <w:rPr>
          <w:rFonts w:ascii="Times New Roman" w:hAnsi="Times New Roman"/>
          <w:sz w:val="16"/>
        </w:rPr>
        <w:t>[11] S. Min, K. Krishna, X. Lyu, M. Lewis, W. Yih, P. Koh, M. Iyyer, L. Zettlemoyer, and H. Hajishirzi, "FActScore: Fine-grained Atomic Evaluation of Factual Precision in Long Form Text Generation," in Proc. EMNLP, 2023.</w:t>
      </w:r>
    </w:p>
    <w:p>
      <w:pPr>
        <w:spacing w:after="40" w:line="240" w:lineRule="auto"/>
        <w:jc w:val="both"/>
      </w:pPr>
      <w:r>
        <w:rPr>
          <w:rFonts w:ascii="Times New Roman" w:hAnsi="Times New Roman"/>
          <w:sz w:val="16"/>
        </w:rPr>
        <w:t>[12] L. W. Anderson and D. R. Krathwohl, A Taxonomy for Learning, Teaching, and Assessing: A Revision of Bloom's Taxonomy of Educational Objectives. New York: Longman, 2001.</w:t>
      </w:r>
    </w:p>
    <w:p>
      <w:pPr>
        <w:spacing w:after="40" w:line="240" w:lineRule="auto"/>
        <w:jc w:val="both"/>
      </w:pPr>
      <w:r>
        <w:rPr>
          <w:rFonts w:ascii="Times New Roman" w:hAnsi="Times New Roman"/>
          <w:sz w:val="16"/>
        </w:rPr>
        <w:t>[13] H. Ebbinghaus, Memory: A Contribution to Experimental Psychology. New York: Teachers College, Columbia University, 1885.</w:t>
      </w:r>
    </w:p>
    <w:p>
      <w:pPr>
        <w:spacing w:after="40" w:line="240" w:lineRule="auto"/>
        <w:jc w:val="both"/>
      </w:pPr>
      <w:r>
        <w:rPr>
          <w:rFonts w:ascii="Times New Roman" w:hAnsi="Times New Roman"/>
          <w:sz w:val="16"/>
        </w:rPr>
        <w:t>[14] M. Ikram, S. B. M. Hanefar, S. M. U. Saleem, and F. Zulfiqar, "Artificial Intelligence in Education: A Systematic Review of Personalized Learning Trends and Future Directions," Frontiers in Education, vol. 11, 2026.</w:t>
      </w:r>
    </w:p>
    <w:p>
      <w:pPr>
        <w:spacing w:after="40" w:line="240" w:lineRule="auto"/>
        <w:jc w:val="both"/>
      </w:pPr>
      <w:r>
        <w:rPr>
          <w:rFonts w:ascii="Times New Roman" w:hAnsi="Times New Roman"/>
          <w:sz w:val="16"/>
        </w:rPr>
        <w:t>[15] C. Merino-Campos, "The Impact of Artificial Intelligence on Personalized Learning in Higher Education: A Systematic Review," Trends in Higher Education, vol. 4, no. 2, p. 17, 2025.</w:t>
      </w:r>
    </w:p>
    <w:p>
      <w:pPr>
        <w:spacing w:after="40" w:line="240" w:lineRule="auto"/>
        <w:jc w:val="both"/>
      </w:pPr>
      <w:r>
        <w:rPr>
          <w:rFonts w:ascii="Times New Roman" w:hAnsi="Times New Roman"/>
          <w:sz w:val="16"/>
        </w:rPr>
        <w:t>[16] M. Liu and F. M'Hiri, "Beyond Traditional Teaching: Large Language Models as Simulated Teaching Assistants in Computer Science," in Proc. 55th ACM Technical Symposium on Computer Science Education, pp. 743-749, 2024.</w:t>
      </w:r>
    </w:p>
    <w:p>
      <w:pPr>
        <w:spacing w:after="40" w:line="240" w:lineRule="auto"/>
        <w:jc w:val="both"/>
      </w:pPr>
      <w:r>
        <w:rPr>
          <w:rFonts w:ascii="Times New Roman" w:hAnsi="Times New Roman"/>
          <w:sz w:val="16"/>
        </w:rPr>
        <w:t>[17] G. Pinto, I. Cardoso-Pereira, D. Monteiro, D. Lucena, A. Souza, and K. Gama, "Large Language Models for Education: Grading Open-Ended Questions Using ChatGPT," in Proc. 37th Brazilian Symposium on Software Engineering, pp. 293-302, 2023.</w:t>
      </w:r>
    </w:p>
    <w:p>
      <w:pPr>
        <w:spacing w:after="40" w:line="240" w:lineRule="auto"/>
        <w:jc w:val="both"/>
      </w:pPr>
      <w:r>
        <w:rPr>
          <w:rFonts w:ascii="Times New Roman" w:hAnsi="Times New Roman"/>
          <w:sz w:val="16"/>
        </w:rPr>
        <w:t>[18] C. C. Tossell, N. L. Tenhundfeld, A. Momen, K. Cooley, and E. J. de Visser, "Student Perceptions of ChatGPT Use in a College Essay Assignment: Implications for Learning, Grading, and Trust in Artificial Intelligence," IEEE Transactions on Learning Technologies, vol. 17, pp. 1069-1081, 2024.</w:t>
      </w:r>
    </w:p>
    <w:p>
      <w:pPr>
        <w:spacing w:after="40" w:line="240" w:lineRule="auto"/>
        <w:jc w:val="both"/>
      </w:pPr>
      <w:r>
        <w:rPr>
          <w:rFonts w:ascii="Times New Roman" w:hAnsi="Times New Roman"/>
          <w:sz w:val="16"/>
        </w:rPr>
        <w:t>[19] O. E. Phung et al., "Automating Human Tutor-Style Programming Feedback: Leveraging GPT-4 Tutor Model for Hint Generation and GPT-3.5 Student Model for Hint Validation," in Proc. 14th Learn. Anal. Knowl. Conf., pp. 12-23, 2024.</w:t>
      </w:r>
    </w:p>
    <w:p>
      <w:pPr>
        <w:spacing w:after="40" w:line="240" w:lineRule="auto"/>
        <w:jc w:val="both"/>
      </w:pPr>
      <w:r>
        <w:rPr>
          <w:rFonts w:ascii="Times New Roman" w:hAnsi="Times New Roman"/>
          <w:sz w:val="16"/>
        </w:rPr>
        <w:t>[20] S. Sturua et al., "jina-embeddings-v3: Multilingual Embeddings with Task LoRA," arXiv preprint arXiv:2409.10173, 2024.</w:t>
      </w:r>
    </w:p>
    <w:sectPr w:rsidR="00FC693F" w:rsidRPr="0006063C" w:rsidSect="00034616">
      <w:type w:val="continuous"/>
      <w:pgSz w:w="12240" w:h="15840"/>
      <w:pgMar w:top="1080" w:right="907" w:bottom="108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