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7">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8">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D">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0E">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F">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2">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specified process or task using the data in a spreadsheet</w:t>
      </w:r>
      <w:r w:rsidDel="00000000" w:rsidR="00000000" w:rsidRPr="00000000">
        <w:rPr>
          <w:rtl w:val="0"/>
        </w:rPr>
      </w:r>
    </w:p>
    <w:p w:rsidR="00000000" w:rsidDel="00000000" w:rsidP="00000000" w:rsidRDefault="00000000" w:rsidRPr="00000000" w14:paraId="00000019">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A">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D">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E">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2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4">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w:t>
      </w:r>
      <w:r w:rsidDel="00000000" w:rsidR="00000000" w:rsidRPr="00000000">
        <w:rPr>
          <w:rFonts w:ascii="Google Sans" w:cs="Google Sans" w:eastAsia="Google Sans" w:hAnsi="Google Sans"/>
          <w:color w:val="434343"/>
          <w:rtl w:val="0"/>
        </w:rPr>
        <w:t xml:space="preserve"> to communicate with a database</w:t>
      </w:r>
      <w:r w:rsidDel="00000000" w:rsidR="00000000" w:rsidRPr="00000000">
        <w:rPr>
          <w:rtl w:val="0"/>
        </w:rPr>
      </w:r>
    </w:p>
    <w:p w:rsidR="00000000" w:rsidDel="00000000" w:rsidP="00000000" w:rsidRDefault="00000000" w:rsidRPr="00000000" w14:paraId="0000002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7">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r w:rsidDel="00000000" w:rsidR="00000000" w:rsidRPr="00000000">
        <w:rPr>
          <w:rtl w:val="0"/>
        </w:rPr>
      </w:r>
    </w:p>
    <w:p w:rsidR="00000000" w:rsidDel="00000000" w:rsidP="00000000" w:rsidRDefault="00000000" w:rsidRPr="00000000" w14:paraId="0000002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A">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B">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2D">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2E">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2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3">
      <w:pPr>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34">
      <w:pPr>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7">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8">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