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equation)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F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3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