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dynamic component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not provided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Administrator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2023-06-16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dynamic component.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Sonar way [CSS]; Sonar way [JavaScript]; Sonar way [HTML];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AYizMM7GBQFzNaSuvoRa.json; AYizMNQgBQFzNaSuvogS.json; AYizMOAIBQFzNaSuvpTE.json;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C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C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0.0 %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0.0 %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3.4 %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14.0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100.0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0d 0h 20min</w:t>
            </w:r>
          </w:p>
        </w:tc>
        <w:tc>
          <w:p>
            <w:r>
              <w:t>-</w:t>
            </w:r>
          </w:p>
        </w:tc>
        <w:tc>
          <w:p>
            <w:r>
              <w:t>0d 0h 38min</w:t>
            </w:r>
          </w:p>
        </w:tc>
        <w:tc>
          <w:p>
            <w:r>
              <w:t>0d 0h 58min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713.0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15.3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CSS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JavaScript</w:t>
            </w:r>
          </w:p>
        </w:tc>
        <w:tc>
          <w:p>
            <w:r>
              <w:t>842</w:t>
            </w:r>
          </w:p>
        </w:tc>
      </w:tr>
      <w:tr>
        <w:tc>
          <w:p>
            <w:r>
              <w:t>HTML</w:t>
            </w:r>
          </w:p>
        </w:tc>
        <w:tc>
          <w:p>
            <w:r>
              <w:t>28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873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Permission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Encryption of Sensitive Data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Traceability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dynamic component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18" Target="media/image3.png" Type="http://schemas.openxmlformats.org/officeDocument/2006/relationships/image"/><Relationship Id="rId19" Target="media/image4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45092.47429398148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15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45092.47429398148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