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16.363636363636363"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Amazon Q (</w:t>
      </w:r>
      <w:r w:rsidDel="00000000" w:rsidR="00000000" w:rsidRPr="00000000">
        <w:rPr>
          <w:rFonts w:ascii="Times New Roman" w:cs="Times New Roman" w:eastAsia="Times New Roman" w:hAnsi="Times New Roman"/>
          <w:b w:val="1"/>
          <w:sz w:val="28"/>
          <w:szCs w:val="28"/>
          <w:highlight w:val="white"/>
          <w:rtl w:val="0"/>
        </w:rPr>
        <w:t xml:space="preserve">business) </w:t>
      </w:r>
      <w:r w:rsidDel="00000000" w:rsidR="00000000" w:rsidRPr="00000000">
        <w:rPr>
          <w:rFonts w:ascii="Times New Roman" w:cs="Times New Roman" w:eastAsia="Times New Roman" w:hAnsi="Times New Roman"/>
          <w:b w:val="1"/>
          <w:sz w:val="32"/>
          <w:szCs w:val="32"/>
          <w:highlight w:val="white"/>
          <w:rtl w:val="0"/>
        </w:rPr>
        <w:t xml:space="preserve">Document Summarization </w:t>
      </w:r>
    </w:p>
    <w:p w:rsidR="00000000" w:rsidDel="00000000" w:rsidP="00000000" w:rsidRDefault="00000000" w:rsidRPr="00000000" w14:paraId="00000002">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tl w:val="0"/>
        </w:rPr>
        <w:t xml:space="preserve">I have developed a QA system using OpenAI Assistant, capable of delivering precise answers from both text and PDF documents. Utilizing advanced language processing, the system comprehends and responds effectively to a wide range of queries. It is designed to ensure an excellent user experience and provide dependable information.</w:t>
      </w:r>
      <w:r w:rsidDel="00000000" w:rsidR="00000000" w:rsidRPr="00000000">
        <w:rPr>
          <w:rtl w:val="0"/>
        </w:rPr>
      </w:r>
    </w:p>
    <w:p w:rsidR="00000000" w:rsidDel="00000000" w:rsidP="00000000" w:rsidRDefault="00000000" w:rsidRPr="00000000" w14:paraId="00000004">
      <w:pPr>
        <w:spacing w:before="240" w:line="16.363636363636363"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before="240" w:line="16.363636363636363"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240" w:line="16.363636363636363"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rtl w:val="0"/>
        </w:rPr>
        <w:t xml:space="preserve">PDF :</w:t>
      </w:r>
      <w:hyperlink r:id="rId6">
        <w:r w:rsidDel="00000000" w:rsidR="00000000" w:rsidRPr="00000000">
          <w:rPr>
            <w:rFonts w:ascii="Times New Roman" w:cs="Times New Roman" w:eastAsia="Times New Roman" w:hAnsi="Times New Roman"/>
            <w:b w:val="1"/>
            <w:rtl w:val="0"/>
          </w:rPr>
          <w:t xml:space="preserve"> </w:t>
        </w:r>
      </w:hyperlink>
      <w:hyperlink r:id="rId7">
        <w:r w:rsidDel="00000000" w:rsidR="00000000" w:rsidRPr="00000000">
          <w:rPr>
            <w:rFonts w:ascii="Times New Roman" w:cs="Times New Roman" w:eastAsia="Times New Roman" w:hAnsi="Times New Roman"/>
            <w:b w:val="1"/>
            <w:color w:val="467886"/>
            <w:sz w:val="24"/>
            <w:szCs w:val="24"/>
            <w:highlight w:val="white"/>
            <w:u w:val="single"/>
            <w:rtl w:val="0"/>
          </w:rPr>
          <w:t xml:space="preserve">Consumer contracts is it a consumer contract.pdf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7">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and Answer :</w:t>
      </w:r>
    </w:p>
    <w:p w:rsidR="00000000" w:rsidDel="00000000" w:rsidP="00000000" w:rsidRDefault="00000000" w:rsidRPr="00000000" w14:paraId="00000008">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are the key criteria for determining trader status, as mentioned in the Komisia za Zashtita na Potrebitelite v Kamenova case ?</w:t>
      </w:r>
    </w:p>
    <w:p w:rsidR="00000000" w:rsidDel="00000000" w:rsidP="00000000" w:rsidRDefault="00000000" w:rsidRPr="00000000" w14:paraId="00000009">
      <w:pPr>
        <w:jc w:val="both"/>
        <w:rPr/>
      </w:pPr>
      <w:r w:rsidDel="00000000" w:rsidR="00000000" w:rsidRPr="00000000">
        <w:rPr>
          <w:rtl w:val="0"/>
        </w:rPr>
        <w:t xml:space="preserve">      </w:t>
        <w:tab/>
        <w:t xml:space="preserve">According to the Komisia za Zashtita na Potrebitelite v Kamenova (C-105/17) EU:C:2018:808 case, the mere fact that a sale is intended to generate profit or that a natural person publishes, simultaneously, on an online platform a number of advertisements offering new and second-hand goods for sale cannot, by itself, be sufficient to classify that person as a trader.  The court stated that additional criteria, such as the level of activity and whether the selling is a primary or significant secondary source of income, need to be considered in determining trader status.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b w:val="1"/>
          <w:sz w:val="24"/>
          <w:szCs w:val="24"/>
          <w:shd w:fill="fcfcfd" w:val="clear"/>
        </w:rPr>
      </w:pPr>
      <w:r w:rsidDel="00000000" w:rsidR="00000000" w:rsidRPr="00000000">
        <w:rPr>
          <w:b w:val="1"/>
          <w:sz w:val="26"/>
          <w:szCs w:val="26"/>
          <w:rtl w:val="0"/>
        </w:rPr>
        <w:t xml:space="preserve">2</w:t>
      </w:r>
      <w:r w:rsidDel="00000000" w:rsidR="00000000" w:rsidRPr="00000000">
        <w:rPr>
          <w:b w:val="1"/>
          <w:rtl w:val="0"/>
        </w:rPr>
        <w:t xml:space="preserve">.</w:t>
      </w:r>
      <w:r w:rsidDel="00000000" w:rsidR="00000000" w:rsidRPr="00000000">
        <w:rPr>
          <w:b w:val="1"/>
          <w:sz w:val="24"/>
          <w:szCs w:val="24"/>
          <w:shd w:fill="fcfcfd" w:val="clear"/>
          <w:rtl w:val="0"/>
        </w:rPr>
        <w:t xml:space="preserve">What are the main factors that indicate an individual is a trader, according to the guidance published by the Chartered Trading Standards Institute (CTSI)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According to the guidance published by the Chartered Trading Standards Institute (CTSI) for consultation on 8 November 2022, an individual is likely to be considered a trader if they meet any of the following criteria: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They employ people, have a business name, advertise in business listings, have business premises or have their own e-commerce sales website.  They are VAT registered.  Selling is their main source of income or a significant second income.  They buy or make goods in order to sell them at a profit, regularly let property to make money or publish content on social media for which they receive money, such as social media influencers.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b w:val="1"/>
          <w:sz w:val="24"/>
          <w:szCs w:val="24"/>
          <w:shd w:fill="fcfcfd" w:val="clear"/>
        </w:rPr>
      </w:pPr>
      <w:r w:rsidDel="00000000" w:rsidR="00000000" w:rsidRPr="00000000">
        <w:rPr>
          <w:b w:val="1"/>
          <w:sz w:val="26"/>
          <w:szCs w:val="26"/>
          <w:rtl w:val="0"/>
        </w:rPr>
        <w:t xml:space="preserve">3</w:t>
      </w:r>
      <w:r w:rsidDel="00000000" w:rsidR="00000000" w:rsidRPr="00000000">
        <w:rPr>
          <w:b w:val="1"/>
          <w:rtl w:val="0"/>
        </w:rPr>
        <w:t xml:space="preserve">.</w:t>
      </w:r>
      <w:r w:rsidDel="00000000" w:rsidR="00000000" w:rsidRPr="00000000">
        <w:rPr>
          <w:b w:val="1"/>
          <w:sz w:val="24"/>
          <w:szCs w:val="24"/>
          <w:shd w:fill="fcfcfd" w:val="clear"/>
          <w:rtl w:val="0"/>
        </w:rPr>
        <w:t xml:space="preserve">How does the Consumer Rights Act 2015 address consumer protection in contracts for financial services ?</w:t>
      </w:r>
    </w:p>
    <w:p w:rsidR="00000000" w:rsidDel="00000000" w:rsidP="00000000" w:rsidRDefault="00000000" w:rsidRPr="00000000" w14:paraId="00000012">
      <w:pPr>
        <w:jc w:val="both"/>
        <w:rPr/>
      </w:pPr>
      <w:r w:rsidDel="00000000" w:rsidR="00000000" w:rsidRPr="00000000">
        <w:rPr>
          <w:rtl w:val="0"/>
        </w:rPr>
        <w:t xml:space="preserve"> Sorry, I could not find relevant information to complete your request.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color w:val="09090b"/>
          <w:sz w:val="24"/>
          <w:szCs w:val="24"/>
        </w:rPr>
      </w:pPr>
      <w:r w:rsidDel="00000000" w:rsidR="00000000" w:rsidRPr="00000000">
        <w:rPr>
          <w:b w:val="1"/>
          <w:sz w:val="26"/>
          <w:szCs w:val="26"/>
          <w:rtl w:val="0"/>
        </w:rPr>
        <w:t xml:space="preserve">4</w:t>
      </w:r>
      <w:r w:rsidDel="00000000" w:rsidR="00000000" w:rsidRPr="00000000">
        <w:rPr>
          <w:b w:val="1"/>
          <w:rtl w:val="0"/>
        </w:rPr>
        <w:t xml:space="preserve">.</w:t>
      </w:r>
      <w:r w:rsidDel="00000000" w:rsidR="00000000" w:rsidRPr="00000000">
        <w:rPr>
          <w:b w:val="1"/>
          <w:color w:val="09090b"/>
          <w:sz w:val="24"/>
          <w:szCs w:val="24"/>
          <w:rtl w:val="0"/>
        </w:rPr>
        <w:t xml:space="preserve">What is the significance of the Sales and Guarantees Directive (1999/44/EC) in relation to the Consumer Rights Act 2015 ?</w:t>
      </w:r>
    </w:p>
    <w:p w:rsidR="00000000" w:rsidDel="00000000" w:rsidP="00000000" w:rsidRDefault="00000000" w:rsidRPr="00000000" w14:paraId="00000015">
      <w:pPr>
        <w:jc w:val="both"/>
        <w:rPr/>
      </w:pPr>
      <w:r w:rsidDel="00000000" w:rsidR="00000000" w:rsidRPr="00000000">
        <w:rPr>
          <w:rtl w:val="0"/>
        </w:rPr>
        <w:t xml:space="preserve">The significance of the Sales and Guarantees Directive (1999/44/EC) in relation to the Consumer Rights Act 2015 is that it was implemented in the UK through Chapter 1 (goods) of Part 1 of the CRA.  The CRA deals with a consumer's statutory rights in respect of contracts for goods, services and digital content supplied by a trader, and the consumer's remedies if these rights are not met.  The Sales and Guarantees Directive was one of the key EU directives that the CRA implemented, specifically in relation to consumer contracts for goods.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Additionally, the CRA also implemented the Unfair Contract Terms Directive (93/13/EEC) in Part 2, which requires consumer contracts and notices to be fair and transparent.  The CRA therefore brought together key EU consumer protection legislation into a single UK statute, with the Sales and Guarantees Directive being a significant component.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shd w:fill="fcfcfd" w:val="clear"/>
        </w:rPr>
      </w:pPr>
      <w:r w:rsidDel="00000000" w:rsidR="00000000" w:rsidRPr="00000000">
        <w:rPr>
          <w:rtl w:val="0"/>
        </w:rPr>
        <w:t xml:space="preserve">5. </w:t>
      </w:r>
      <w:r w:rsidDel="00000000" w:rsidR="00000000" w:rsidRPr="00000000">
        <w:rPr>
          <w:b w:val="1"/>
          <w:sz w:val="24"/>
          <w:szCs w:val="24"/>
          <w:shd w:fill="fcfcfd" w:val="clear"/>
          <w:rtl w:val="0"/>
        </w:rPr>
        <w:t xml:space="preserve">Can you explain the new EU consumer law regime and its impact on consumer contracts ?</w:t>
      </w:r>
    </w:p>
    <w:p w:rsidR="00000000" w:rsidDel="00000000" w:rsidP="00000000" w:rsidRDefault="00000000" w:rsidRPr="00000000" w14:paraId="0000001A">
      <w:pPr>
        <w:jc w:val="both"/>
        <w:rPr/>
      </w:pPr>
      <w:r w:rsidDel="00000000" w:rsidR="00000000" w:rsidRPr="00000000">
        <w:rPr>
          <w:rtl w:val="0"/>
        </w:rPr>
        <w:t xml:space="preserve">Here is the answer to the question: </w:t>
      </w:r>
    </w:p>
    <w:p w:rsidR="00000000" w:rsidDel="00000000" w:rsidP="00000000" w:rsidRDefault="00000000" w:rsidRPr="00000000" w14:paraId="0000001B">
      <w:pPr>
        <w:jc w:val="both"/>
        <w:rPr/>
      </w:pPr>
      <w:r w:rsidDel="00000000" w:rsidR="00000000" w:rsidRPr="00000000">
        <w:rPr>
          <w:rtl w:val="0"/>
        </w:rPr>
        <w:t xml:space="preserve">The new EU consumer law regime has started to diverge from UK law in several key ways. From 1 January 2022, the EU Goods Directive ((EU) 2019/771) replaced the Sales and Guarantees Directive in relation to the sale of goods to consumers.  Additionally, from 1 January 2022, member states have had to apply the new EU Digital Content and Digital Services Directive ((EU) 2019/770).  Further, from 28 May 2022, member states have had to apply the updates made by the EU Enforcement and Modernisation Directive ((EU) 2019/2161) to the Unfair Commercial Practices Directive, the Consumer Rights Directive, and two other consumer protection directives. </w:t>
      </w:r>
    </w:p>
    <w:p w:rsidR="00000000" w:rsidDel="00000000" w:rsidP="00000000" w:rsidRDefault="00000000" w:rsidRPr="00000000" w14:paraId="0000001C">
      <w:pPr>
        <w:jc w:val="both"/>
        <w:rPr/>
      </w:pPr>
      <w:r w:rsidDel="00000000" w:rsidR="00000000" w:rsidRPr="00000000">
        <w:rPr>
          <w:rtl w:val="0"/>
        </w:rPr>
        <w:t xml:space="preserve">These changes in the EU consumer protection regime are reflected in the suite of practice notes listed in the Toolkit on EU consumer law.  The divergence between EU and UK consumer law means that traders selling to both UK and EU consumers will need to carefully check the applicable local laws.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before="240" w:line="16.363636363636363" w:lineRule="auto"/>
        <w:rPr>
          <w:b w:val="1"/>
          <w:color w:val="467886"/>
          <w:sz w:val="24"/>
          <w:szCs w:val="24"/>
          <w:highlight w:val="white"/>
          <w:u w:val="single"/>
        </w:rPr>
      </w:pPr>
      <w:r w:rsidDel="00000000" w:rsidR="00000000" w:rsidRPr="00000000">
        <w:rPr>
          <w:rFonts w:ascii="Times New Roman" w:cs="Times New Roman" w:eastAsia="Times New Roman" w:hAnsi="Times New Roman"/>
          <w:b w:val="1"/>
          <w:rtl w:val="0"/>
        </w:rPr>
        <w:t xml:space="preserve">PDF :</w:t>
      </w:r>
      <w:hyperlink r:id="rId8">
        <w:r w:rsidDel="00000000" w:rsidR="00000000" w:rsidRPr="00000000">
          <w:rPr>
            <w:rFonts w:ascii="Times New Roman" w:cs="Times New Roman" w:eastAsia="Times New Roman" w:hAnsi="Times New Roman"/>
            <w:b w:val="1"/>
            <w:rtl w:val="0"/>
          </w:rPr>
          <w:t xml:space="preserve"> </w:t>
        </w:r>
      </w:hyperlink>
      <w:hyperlink r:id="rId9">
        <w:r w:rsidDel="00000000" w:rsidR="00000000" w:rsidRPr="00000000">
          <w:rPr>
            <w:b w:val="1"/>
            <w:color w:val="467886"/>
            <w:sz w:val="24"/>
            <w:szCs w:val="24"/>
            <w:highlight w:val="white"/>
            <w:u w:val="single"/>
            <w:rtl w:val="0"/>
          </w:rPr>
          <w:t xml:space="preserve">Exhibit B-1 PV SoW_Final</w:t>
        </w:r>
      </w:hyperlink>
      <w:r w:rsidDel="00000000" w:rsidR="00000000" w:rsidRPr="00000000">
        <w:rPr>
          <w:rtl w:val="0"/>
        </w:rPr>
      </w:r>
    </w:p>
    <w:p w:rsidR="00000000" w:rsidDel="00000000" w:rsidP="00000000" w:rsidRDefault="00000000" w:rsidRPr="00000000" w14:paraId="00000020">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and Answer :</w:t>
      </w:r>
    </w:p>
    <w:p w:rsidR="00000000" w:rsidDel="00000000" w:rsidP="00000000" w:rsidRDefault="00000000" w:rsidRPr="00000000" w14:paraId="00000021">
      <w:pPr>
        <w:spacing w:before="240" w:line="16.363636363636363"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both"/>
        <w:rPr>
          <w:b w:val="1"/>
          <w:sz w:val="24"/>
          <w:szCs w:val="24"/>
          <w:shd w:fill="fcfcfd" w:val="clear"/>
        </w:rPr>
      </w:pPr>
      <w:r w:rsidDel="00000000" w:rsidR="00000000" w:rsidRPr="00000000">
        <w:rPr>
          <w:b w:val="1"/>
          <w:rtl w:val="0"/>
        </w:rPr>
        <w:t xml:space="preserve">1.</w:t>
      </w:r>
      <w:r w:rsidDel="00000000" w:rsidR="00000000" w:rsidRPr="00000000">
        <w:rPr>
          <w:b w:val="1"/>
          <w:sz w:val="24"/>
          <w:szCs w:val="24"/>
          <w:shd w:fill="fcfcfd" w:val="clear"/>
          <w:rtl w:val="0"/>
        </w:rPr>
        <w:t xml:space="preserve">What is the capacity of the facility described in the document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capacity of the facility described in the documents is as follows: </w:t>
      </w:r>
    </w:p>
    <w:p w:rsidR="00000000" w:rsidDel="00000000" w:rsidP="00000000" w:rsidRDefault="00000000" w:rsidRPr="00000000" w14:paraId="00000025">
      <w:pPr>
        <w:jc w:val="both"/>
        <w:rPr/>
      </w:pPr>
      <w:r w:rsidDel="00000000" w:rsidR="00000000" w:rsidRPr="00000000">
        <w:rPr>
          <w:rtl w:val="0"/>
        </w:rPr>
        <w:t xml:space="preserve">The PV MWAC capacity at the point of interconnection (POI) is 500 MW.  The PV MWDC capacity is 652.96 MW.  The BESS MWAC capacity is 600.40 MW, and the BESS installed energy capacity is 2614 MWh with a duration of 4 hours.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sz w:val="24"/>
          <w:szCs w:val="24"/>
          <w:shd w:fill="fcfcfd" w:val="clear"/>
        </w:rPr>
      </w:pPr>
      <w:r w:rsidDel="00000000" w:rsidR="00000000" w:rsidRPr="00000000">
        <w:rPr>
          <w:b w:val="1"/>
          <w:rtl w:val="0"/>
        </w:rPr>
        <w:t xml:space="preserve">2.</w:t>
      </w:r>
      <w:r w:rsidDel="00000000" w:rsidR="00000000" w:rsidRPr="00000000">
        <w:rPr>
          <w:b w:val="1"/>
          <w:sz w:val="24"/>
          <w:szCs w:val="24"/>
          <w:shd w:fill="fcfcfd" w:val="clear"/>
          <w:rtl w:val="0"/>
        </w:rPr>
        <w:t xml:space="preserve">What are the main responsibilities of the contractor in this project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Here is the answer to the question based on the information provided in the data source: </w:t>
      </w:r>
    </w:p>
    <w:p w:rsidR="00000000" w:rsidDel="00000000" w:rsidP="00000000" w:rsidRDefault="00000000" w:rsidRPr="00000000" w14:paraId="0000002A">
      <w:pPr>
        <w:jc w:val="both"/>
        <w:rPr/>
      </w:pPr>
      <w:r w:rsidDel="00000000" w:rsidR="00000000" w:rsidRPr="00000000">
        <w:rPr>
          <w:rtl w:val="0"/>
        </w:rPr>
        <w:t xml:space="preserve">The main responsibilities of the contractor in this project include: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contractor shall be responsible for and coordinate the design, engineering, permitting, procurement, construction, testing, and commissioning of the entire facility to ensure successful interconnection and continuous operation with the Interconnection Provider and the RTO.  This includes assuming all supporting responsibilities of the Interconnection Customer related to the design, engineering, construction, and commissioning of the facility.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contractor is responsible for providing temporary power, security safeguards, and preparing the laydown yard and parking area necessary to complete the work.  The contractor shall also coordinate the delivery, receipt, storage, and distribution of all equipment, including Owner-furnished equipment, to the site.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Additionally, the contractor shall coordinate with the Owner, Governmental Authority, Interconnection Provider, and RTO to obtain necessary approvals and inspections to operate the facility.  The contractor is also responsible for executing the performance test and providing all backup documents.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4"/>
          <w:szCs w:val="24"/>
          <w:shd w:fill="fcfcfd" w:val="clear"/>
        </w:rPr>
      </w:pPr>
      <w:r w:rsidDel="00000000" w:rsidR="00000000" w:rsidRPr="00000000">
        <w:rPr>
          <w:b w:val="1"/>
          <w:rtl w:val="0"/>
        </w:rPr>
        <w:t xml:space="preserve">3.</w:t>
      </w:r>
      <w:r w:rsidDel="00000000" w:rsidR="00000000" w:rsidRPr="00000000">
        <w:rPr>
          <w:b w:val="1"/>
          <w:sz w:val="24"/>
          <w:szCs w:val="24"/>
          <w:shd w:fill="fcfcfd" w:val="clear"/>
          <w:rtl w:val="0"/>
        </w:rPr>
        <w:t xml:space="preserve">What specific engineering tasks does the contractor need to perform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Based on the information provided in the data source, the key engineering tasks the contractor needs to perform include: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contractor shall coordinate with all engineering disciplines, the Owner, and the Governmental Authority to engineer and design the entire facility.  The contractor shall generate all reports, calculations, studies, specifications, and drawings required to indicate that the work and the facility can be successfully permitted, constructed, and interconnected to the Interconnection Provider and the RTO.  This includes providing deliverables such as design documents, studies, and other engineering documentation as listed in Exhibit S-1.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contractor shall review any Owner-provided studies prior to commencing engineering, and if supplemental field investigations are required, notify the Owner so the parties can agree on the additional scope.  The contractor shall also coordinate the design, engineering, and construction to ensure the successful interconnection and continuous operation of the entire facility with the Interconnection Provider and RTO.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4"/>
          <w:szCs w:val="24"/>
          <w:shd w:fill="fcfcfd" w:val="clear"/>
        </w:rPr>
      </w:pPr>
      <w:r w:rsidDel="00000000" w:rsidR="00000000" w:rsidRPr="00000000">
        <w:rPr>
          <w:b w:val="1"/>
          <w:rtl w:val="0"/>
        </w:rPr>
        <w:t xml:space="preserve">4.</w:t>
      </w:r>
      <w:r w:rsidDel="00000000" w:rsidR="00000000" w:rsidRPr="00000000">
        <w:rPr>
          <w:b w:val="1"/>
          <w:sz w:val="24"/>
          <w:szCs w:val="24"/>
          <w:shd w:fill="fcfcfd" w:val="clear"/>
          <w:rtl w:val="0"/>
        </w:rPr>
        <w:t xml:space="preserve">Which permits does the contractor need to obtain for the project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Based on the information provided in the data source, the key permits the contractor needs to obtain for the project are: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contractor shall permit the work in accordance with all Contractor Permits, Owner Permits, Governmental Authority requirements, and fire department requirements.  For AC- or DC-coupled BESS projects, the contractor shall be responsible for providing the Facility Hazard Mitigation Analysis (HMA) in accordance with NFPA 855 and local Governmental Authority requirements.  The contractor shall also develop and draft a Spill Prevention, Control, Countermeasures (SPCC) plan, prior to the facility's oil storage capacity meeting SPCC Plan applicability.  The contractor shall not perform any work until they have received all "Contractor Permits Required Prior to Issuance of Notice to Proceed" listed in Part I of Exhibit C-1, unless otherwise agreed to by the Owner.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4"/>
          <w:szCs w:val="24"/>
          <w:shd w:fill="fcfcfd" w:val="clear"/>
        </w:rPr>
      </w:pPr>
      <w:r w:rsidDel="00000000" w:rsidR="00000000" w:rsidRPr="00000000">
        <w:rPr>
          <w:b w:val="1"/>
          <w:rtl w:val="0"/>
        </w:rPr>
        <w:t xml:space="preserve">5.</w:t>
      </w:r>
      <w:r w:rsidDel="00000000" w:rsidR="00000000" w:rsidRPr="00000000">
        <w:rPr>
          <w:b w:val="1"/>
          <w:sz w:val="24"/>
          <w:szCs w:val="24"/>
          <w:shd w:fill="fcfcfd" w:val="clear"/>
          <w:rtl w:val="0"/>
        </w:rPr>
        <w:t xml:space="preserve">What are the contractor's duties during the construction phase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Here is the answer to the question based on the information provided in the data source: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contractor's main duties during the construction phase include: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contractor shall control dust and install and maintain erosion and sediment control measures per the approved plans and Governmental Authority requirements until the site is permanently stabilized.  The contractor shall also transport and properly dispose of all used oil and other wastes, and provide records of hazardous materials and chemicals on-site to the Owner.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contractor is responsible for providing the necessary construction staking, field surveying, and as-built surveys to confirm the facility is installed within the required boundaries and setbacks.  The contractor shall also staff the facility in compliance with the Power Purchase Agreement, project labor agreements, and Owner requirements.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Throughout construction, the contractor shall maintain clean work areas, remove all trash and construction debris, and restore any public roadways damaged due to their activities.  The contractor shall also provide temporary power, security, laydown yards, and other site facilities needed to complete the work.</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Comparing with OpenAi Assistant:</w:t>
      </w:r>
    </w:p>
    <w:p w:rsidR="00000000" w:rsidDel="00000000" w:rsidP="00000000" w:rsidRDefault="00000000" w:rsidRPr="00000000" w14:paraId="0000004D">
      <w:pPr>
        <w:jc w:val="both"/>
        <w:rPr/>
      </w:pPr>
      <w:r w:rsidDel="00000000" w:rsidR="00000000" w:rsidRPr="00000000">
        <w:rPr>
          <w:rtl w:val="0"/>
        </w:rPr>
        <w:t xml:space="preserve">Both models give the answers that are equally relevant.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before="240" w:line="16.363636363636363" w:lineRule="auto"/>
        <w:rPr>
          <w:rFonts w:ascii="Times New Roman" w:cs="Times New Roman" w:eastAsia="Times New Roman" w:hAnsi="Times New Roman"/>
          <w:b w:val="1"/>
          <w:color w:val="467886"/>
          <w:sz w:val="30"/>
          <w:szCs w:val="30"/>
          <w:highlight w:val="white"/>
          <w:u w:val="single"/>
          <w:vertAlign w:val="superscript"/>
        </w:rPr>
      </w:pPr>
      <w:r w:rsidDel="00000000" w:rsidR="00000000" w:rsidRPr="00000000">
        <w:rPr>
          <w:rFonts w:ascii="Times New Roman" w:cs="Times New Roman" w:eastAsia="Times New Roman" w:hAnsi="Times New Roman"/>
          <w:b w:val="1"/>
          <w:rtl w:val="0"/>
        </w:rPr>
        <w:t xml:space="preserve">PDF :</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b w:val="1"/>
            <w:color w:val="467886"/>
            <w:sz w:val="24"/>
            <w:szCs w:val="24"/>
            <w:highlight w:val="white"/>
            <w:u w:val="single"/>
            <w:rtl w:val="0"/>
          </w:rPr>
          <w:t xml:space="preserve">Retention Bonus Policy_Augst 14</w:t>
        </w:r>
      </w:hyperlink>
      <w:hyperlink r:id="rId12">
        <w:r w:rsidDel="00000000" w:rsidR="00000000" w:rsidRPr="00000000">
          <w:rPr>
            <w:rFonts w:ascii="Times New Roman" w:cs="Times New Roman" w:eastAsia="Times New Roman" w:hAnsi="Times New Roman"/>
            <w:b w:val="1"/>
            <w:color w:val="467886"/>
            <w:sz w:val="30"/>
            <w:szCs w:val="30"/>
            <w:highlight w:val="white"/>
            <w:u w:val="single"/>
            <w:vertAlign w:val="superscript"/>
            <w:rtl w:val="0"/>
          </w:rPr>
          <w:t xml:space="preserve">th</w:t>
        </w:r>
      </w:hyperlink>
      <w:r w:rsidDel="00000000" w:rsidR="00000000" w:rsidRPr="00000000">
        <w:rPr>
          <w:rtl w:val="0"/>
        </w:rPr>
      </w:r>
    </w:p>
    <w:p w:rsidR="00000000" w:rsidDel="00000000" w:rsidP="00000000" w:rsidRDefault="00000000" w:rsidRPr="00000000" w14:paraId="00000050">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and Answer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b w:val="1"/>
          <w:sz w:val="24"/>
          <w:szCs w:val="24"/>
          <w:shd w:fill="fcfcfd" w:val="clear"/>
        </w:rPr>
      </w:pPr>
      <w:r w:rsidDel="00000000" w:rsidR="00000000" w:rsidRPr="00000000">
        <w:rPr>
          <w:b w:val="1"/>
          <w:rtl w:val="0"/>
        </w:rPr>
        <w:t xml:space="preserve">1.</w:t>
      </w:r>
      <w:r w:rsidDel="00000000" w:rsidR="00000000" w:rsidRPr="00000000">
        <w:rPr>
          <w:b w:val="1"/>
          <w:sz w:val="24"/>
          <w:szCs w:val="24"/>
          <w:shd w:fill="fcfcfd" w:val="clear"/>
          <w:rtl w:val="0"/>
        </w:rPr>
        <w:t xml:space="preserve">When are the Retention Bonus payouts made each year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Retention bonus payouts are made on a half-yearly basis, with cycles from April to September being paid in the October payroll, and cycles from October to March being paid in the April payroll.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sz w:val="24"/>
          <w:szCs w:val="24"/>
          <w:shd w:fill="fcfcfd" w:val="clear"/>
        </w:rPr>
      </w:pPr>
      <w:r w:rsidDel="00000000" w:rsidR="00000000" w:rsidRPr="00000000">
        <w:rPr>
          <w:b w:val="1"/>
          <w:rtl w:val="0"/>
        </w:rPr>
        <w:t xml:space="preserve">2.</w:t>
      </w:r>
      <w:r w:rsidDel="00000000" w:rsidR="00000000" w:rsidRPr="00000000">
        <w:rPr>
          <w:b w:val="1"/>
          <w:sz w:val="24"/>
          <w:szCs w:val="24"/>
          <w:shd w:fill="fcfcfd" w:val="clear"/>
          <w:rtl w:val="0"/>
        </w:rPr>
        <w:t xml:space="preserve">What percentage of the Cost-to-Company (CTC) is used to calculate the Retention Bonus?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According to the data source, the Retention Bonus is calculated as 8.33% of the employee's Cost-to-Company (CTC) . The policy states that the annual Retention bonus is disbursed biannually, following the completion of a 6-month period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sz w:val="24"/>
          <w:szCs w:val="24"/>
          <w:shd w:fill="fcfcfd" w:val="clear"/>
        </w:rPr>
      </w:pPr>
      <w:r w:rsidDel="00000000" w:rsidR="00000000" w:rsidRPr="00000000">
        <w:rPr>
          <w:b w:val="1"/>
          <w:rtl w:val="0"/>
        </w:rPr>
        <w:t xml:space="preserve">3.</w:t>
      </w:r>
      <w:r w:rsidDel="00000000" w:rsidR="00000000" w:rsidRPr="00000000">
        <w:rPr>
          <w:b w:val="1"/>
          <w:sz w:val="24"/>
          <w:szCs w:val="24"/>
          <w:shd w:fill="fcfcfd" w:val="clear"/>
          <w:rtl w:val="0"/>
        </w:rPr>
        <w:t xml:space="preserve">Do employees need to complete a specific period of service to be eligible for the Retention Bonus? If so, how long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Yes, the data source indicates that employees need to complete a specific period of service to be eligible for the Retention Bonus. According to the policy, the annual Retention bonus is disbursed biannually, following the completion of a 6-month period.  New employees who join the organization in the middle of a bonus cycle are not eligible for the bonus corresponding to that specific cycle, which will be issued along with the next cycle. This is due to the requirement of completing a 6-month service period for eligibility.  If an employee joins on or before the 15th of the month, they will be eligible for the current month's bonus, but if they join after the 15th, they will not be eligible.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sz w:val="24"/>
          <w:szCs w:val="24"/>
          <w:shd w:fill="fcfcfd" w:val="clear"/>
        </w:rPr>
      </w:pPr>
      <w:r w:rsidDel="00000000" w:rsidR="00000000" w:rsidRPr="00000000">
        <w:rPr>
          <w:b w:val="1"/>
          <w:rtl w:val="0"/>
        </w:rPr>
        <w:t xml:space="preserve">4. </w:t>
      </w:r>
      <w:r w:rsidDel="00000000" w:rsidR="00000000" w:rsidRPr="00000000">
        <w:rPr>
          <w:b w:val="1"/>
          <w:sz w:val="24"/>
          <w:szCs w:val="24"/>
          <w:shd w:fill="fcfcfd" w:val="clear"/>
          <w:rtl w:val="0"/>
        </w:rPr>
        <w:t xml:space="preserve">Are employees who join the company in the middle of a bonus cycle eligible for that cycle's Retention Bonus ?</w:t>
      </w:r>
    </w:p>
    <w:p w:rsidR="00000000" w:rsidDel="00000000" w:rsidP="00000000" w:rsidRDefault="00000000" w:rsidRPr="00000000" w14:paraId="0000005F">
      <w:pPr>
        <w:jc w:val="both"/>
        <w:rPr>
          <w:shd w:fill="fcfcfd" w:val="clear"/>
        </w:rPr>
      </w:pPr>
      <w:r w:rsidDel="00000000" w:rsidR="00000000" w:rsidRPr="00000000">
        <w:rPr>
          <w:shd w:fill="fcfcfd" w:val="clear"/>
          <w:rtl w:val="0"/>
        </w:rPr>
        <w:t xml:space="preserve">According to the data source, employees who join the company in the middle of a bonus cycle are not eligible for that cycle's Retention Bonus. The policy states that "New employees who join the organization in the middle of a bonus cycle are not eligible for the bonus corresponding to that specific cycle which will be issued along with the next cycle."  This is due to the requirement of completing a 6-month service period for eligibility.  If an employee joins on or before the 15th of the month, they will be eligible for the current month's bonus, but if they join after the 15th, they will not be eligible.</w:t>
      </w:r>
    </w:p>
    <w:p w:rsidR="00000000" w:rsidDel="00000000" w:rsidP="00000000" w:rsidRDefault="00000000" w:rsidRPr="00000000" w14:paraId="00000060">
      <w:pPr>
        <w:jc w:val="both"/>
        <w:rPr>
          <w:sz w:val="24"/>
          <w:szCs w:val="24"/>
          <w:shd w:fill="fcfcfd" w:val="clear"/>
        </w:rPr>
      </w:pPr>
      <w:r w:rsidDel="00000000" w:rsidR="00000000" w:rsidRPr="00000000">
        <w:rPr>
          <w:rtl w:val="0"/>
        </w:rPr>
      </w:r>
    </w:p>
    <w:p w:rsidR="00000000" w:rsidDel="00000000" w:rsidP="00000000" w:rsidRDefault="00000000" w:rsidRPr="00000000" w14:paraId="00000061">
      <w:pPr>
        <w:jc w:val="both"/>
        <w:rPr>
          <w:b w:val="1"/>
          <w:sz w:val="24"/>
          <w:szCs w:val="24"/>
          <w:shd w:fill="fcfcfd" w:val="clear"/>
        </w:rPr>
      </w:pPr>
      <w:r w:rsidDel="00000000" w:rsidR="00000000" w:rsidRPr="00000000">
        <w:rPr>
          <w:b w:val="1"/>
          <w:sz w:val="24"/>
          <w:szCs w:val="24"/>
          <w:shd w:fill="fcfcfd" w:val="clear"/>
          <w:rtl w:val="0"/>
        </w:rPr>
        <w:t xml:space="preserve">5.What is the policy for paying the Retention Bonus to employees on maternity leave ?</w:t>
      </w:r>
    </w:p>
    <w:p w:rsidR="00000000" w:rsidDel="00000000" w:rsidP="00000000" w:rsidRDefault="00000000" w:rsidRPr="00000000" w14:paraId="00000062">
      <w:pPr>
        <w:jc w:val="both"/>
        <w:rPr>
          <w:sz w:val="24"/>
          <w:szCs w:val="24"/>
          <w:shd w:fill="fcfcfd" w:val="clear"/>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According to the data source, the policy for paying the Retention Bonus to employees on maternity leave is as follows: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Employees who are on maternity leave during the appropriate retention cycle will not be qualified for the cyclic payment. However, if an employee successfully completed their 6 months of service period and then went on maternity leave, the retention amount for the completed cycle will be held and released once the employee resumes work in the upcoming retention cycle.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Specifically, the policy outlines two scenarios: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Scenario 1: If an employee's maternity leave started in the middle of September, the Retention Bonus will be calculated only for the period of April to August (5 months) and this amount will be paid once the employee returns to work after the maternity leave.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Scenario 2: If an employee's 6-month maternity leave starts from or after October 1st, the Retention Bonus will be calculated for the period of April to September, and the amount can be released once the employee returns to work. However, the employee will not be eligible for the Retention Bonus for the period of October to March as they were on maternity leave during that time.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spacing w:before="240" w:line="16.363636363636363" w:lineRule="auto"/>
        <w:jc w:val="both"/>
        <w:rPr>
          <w:rFonts w:ascii="Times New Roman" w:cs="Times New Roman" w:eastAsia="Times New Roman" w:hAnsi="Times New Roman"/>
          <w:b w:val="1"/>
          <w:color w:val="467886"/>
          <w:sz w:val="24"/>
          <w:szCs w:val="24"/>
          <w:highlight w:val="white"/>
          <w:u w:val="single"/>
        </w:rPr>
      </w:pPr>
      <w:r w:rsidDel="00000000" w:rsidR="00000000" w:rsidRPr="00000000">
        <w:rPr>
          <w:rFonts w:ascii="Times New Roman" w:cs="Times New Roman" w:eastAsia="Times New Roman" w:hAnsi="Times New Roman"/>
          <w:b w:val="1"/>
          <w:rtl w:val="0"/>
        </w:rPr>
        <w:t xml:space="preserve">PDF :</w:t>
      </w:r>
      <w:hyperlink r:id="rId13">
        <w:r w:rsidDel="00000000" w:rsidR="00000000" w:rsidRPr="00000000">
          <w:rPr>
            <w:rFonts w:ascii="Times New Roman" w:cs="Times New Roman" w:eastAsia="Times New Roman" w:hAnsi="Times New Roman"/>
            <w:b w:val="1"/>
            <w:rtl w:val="0"/>
          </w:rPr>
          <w:t xml:space="preserve"> </w:t>
        </w:r>
      </w:hyperlink>
      <w:hyperlink r:id="rId14">
        <w:r w:rsidDel="00000000" w:rsidR="00000000" w:rsidRPr="00000000">
          <w:rPr>
            <w:rFonts w:ascii="Times New Roman" w:cs="Times New Roman" w:eastAsia="Times New Roman" w:hAnsi="Times New Roman"/>
            <w:b w:val="1"/>
            <w:color w:val="467886"/>
            <w:sz w:val="24"/>
            <w:szCs w:val="24"/>
            <w:highlight w:val="white"/>
            <w:u w:val="single"/>
            <w:rtl w:val="0"/>
          </w:rPr>
          <w:t xml:space="preserve">Silicone DMF 50-1000000 - SDS</w:t>
        </w:r>
      </w:hyperlink>
      <w:r w:rsidDel="00000000" w:rsidR="00000000" w:rsidRPr="00000000">
        <w:rPr>
          <w:rtl w:val="0"/>
        </w:rPr>
      </w:r>
    </w:p>
    <w:p w:rsidR="00000000" w:rsidDel="00000000" w:rsidP="00000000" w:rsidRDefault="00000000" w:rsidRPr="00000000" w14:paraId="0000006E">
      <w:pPr>
        <w:spacing w:before="240" w:line="16.363636363636363"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and Answer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4"/>
          <w:szCs w:val="24"/>
          <w:shd w:fill="fcfcfd" w:val="clear"/>
        </w:rPr>
      </w:pPr>
      <w:r w:rsidDel="00000000" w:rsidR="00000000" w:rsidRPr="00000000">
        <w:rPr>
          <w:b w:val="1"/>
          <w:rtl w:val="0"/>
        </w:rPr>
        <w:t xml:space="preserve">1.</w:t>
      </w:r>
      <w:r w:rsidDel="00000000" w:rsidR="00000000" w:rsidRPr="00000000">
        <w:rPr>
          <w:b w:val="1"/>
          <w:sz w:val="24"/>
          <w:szCs w:val="24"/>
          <w:shd w:fill="fcfcfd" w:val="clear"/>
          <w:rtl w:val="0"/>
        </w:rPr>
        <w:t xml:space="preserve">What is the chemical family and CAS number of Silicone DMF 50 – 1,000,000 CSTK?</w:t>
      </w:r>
    </w:p>
    <w:p w:rsidR="00000000" w:rsidDel="00000000" w:rsidP="00000000" w:rsidRDefault="00000000" w:rsidRPr="00000000" w14:paraId="00000071">
      <w:pPr>
        <w:jc w:val="both"/>
        <w:rPr/>
      </w:pPr>
      <w:r w:rsidDel="00000000" w:rsidR="00000000" w:rsidRPr="00000000">
        <w:rPr>
          <w:rtl w:val="0"/>
        </w:rPr>
        <w:t xml:space="preserve">The chemical family of Silicone DMF 50 - 1,000,000 CSTK is Dimethylpolysiloxane, and the CAS number is 63148-62-9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sz w:val="24"/>
          <w:szCs w:val="24"/>
          <w:shd w:fill="fcfcfd" w:val="clear"/>
        </w:rPr>
      </w:pPr>
      <w:r w:rsidDel="00000000" w:rsidR="00000000" w:rsidRPr="00000000">
        <w:rPr>
          <w:b w:val="1"/>
          <w:rtl w:val="0"/>
        </w:rPr>
        <w:t xml:space="preserve">2.</w:t>
      </w:r>
      <w:r w:rsidDel="00000000" w:rsidR="00000000" w:rsidRPr="00000000">
        <w:rPr>
          <w:b w:val="1"/>
          <w:sz w:val="24"/>
          <w:szCs w:val="24"/>
          <w:shd w:fill="fcfcfd" w:val="clear"/>
          <w:rtl w:val="0"/>
        </w:rPr>
        <w:t xml:space="preserve">For what type of use is Silicone DMF 50 – 1,000,000 CSTK intended ?</w:t>
      </w:r>
    </w:p>
    <w:p w:rsidR="00000000" w:rsidDel="00000000" w:rsidP="00000000" w:rsidRDefault="00000000" w:rsidRPr="00000000" w14:paraId="00000074">
      <w:pPr>
        <w:jc w:val="both"/>
        <w:rPr/>
      </w:pPr>
      <w:r w:rsidDel="00000000" w:rsidR="00000000" w:rsidRPr="00000000">
        <w:rPr>
          <w:rtl w:val="0"/>
        </w:rPr>
        <w:t xml:space="preserve">According to the data source, Silicone DMF 50 - 1,000,000 CSTK is intended for various industrial uses. The product information states that the "Product Use" is "Various" . No further details are provided in the data source about the specific types of industrial uses for this product.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sz w:val="24"/>
          <w:szCs w:val="24"/>
          <w:shd w:fill="fcfcfd" w:val="clear"/>
        </w:rPr>
      </w:pPr>
      <w:r w:rsidDel="00000000" w:rsidR="00000000" w:rsidRPr="00000000">
        <w:rPr>
          <w:b w:val="1"/>
          <w:rtl w:val="0"/>
        </w:rPr>
        <w:t xml:space="preserve">3.</w:t>
      </w:r>
      <w:r w:rsidDel="00000000" w:rsidR="00000000" w:rsidRPr="00000000">
        <w:rPr>
          <w:b w:val="1"/>
          <w:sz w:val="24"/>
          <w:szCs w:val="24"/>
          <w:shd w:fill="fcfcfd" w:val="clear"/>
          <w:rtl w:val="0"/>
        </w:rPr>
        <w:t xml:space="preserve">What should be done in case of skin contact with Silicone DMF 50 – 1,000,000 CSTK ?</w:t>
      </w:r>
    </w:p>
    <w:p w:rsidR="00000000" w:rsidDel="00000000" w:rsidP="00000000" w:rsidRDefault="00000000" w:rsidRPr="00000000" w14:paraId="00000077">
      <w:pPr>
        <w:jc w:val="both"/>
        <w:rPr>
          <w:sz w:val="24"/>
          <w:szCs w:val="24"/>
          <w:shd w:fill="fcfcfd" w:val="clear"/>
        </w:rPr>
      </w:pPr>
      <w:r w:rsidDel="00000000" w:rsidR="00000000" w:rsidRPr="00000000">
        <w:rPr>
          <w:sz w:val="24"/>
          <w:szCs w:val="24"/>
          <w:shd w:fill="fcfcfd" w:val="clear"/>
          <w:rtl w:val="0"/>
        </w:rPr>
        <w:t xml:space="preserve">According to the data source, in case of skin contact with Silicone DMF 50 - 1,000,000 CSTK, the recommended first aid measure is to wash the skin with soap and water, and wash any contaminated clothing before reuse.</w:t>
      </w:r>
    </w:p>
    <w:p w:rsidR="00000000" w:rsidDel="00000000" w:rsidP="00000000" w:rsidRDefault="00000000" w:rsidRPr="00000000" w14:paraId="00000078">
      <w:pPr>
        <w:jc w:val="both"/>
        <w:rPr>
          <w:sz w:val="24"/>
          <w:szCs w:val="24"/>
          <w:shd w:fill="fcfcfd" w:val="clear"/>
        </w:rPr>
      </w:pPr>
      <w:r w:rsidDel="00000000" w:rsidR="00000000" w:rsidRPr="00000000">
        <w:rPr>
          <w:rtl w:val="0"/>
        </w:rPr>
      </w:r>
    </w:p>
    <w:p w:rsidR="00000000" w:rsidDel="00000000" w:rsidP="00000000" w:rsidRDefault="00000000" w:rsidRPr="00000000" w14:paraId="00000079">
      <w:pPr>
        <w:jc w:val="both"/>
        <w:rPr>
          <w:b w:val="1"/>
          <w:sz w:val="24"/>
          <w:szCs w:val="24"/>
          <w:shd w:fill="fcfcfd" w:val="clear"/>
        </w:rPr>
      </w:pPr>
      <w:r w:rsidDel="00000000" w:rsidR="00000000" w:rsidRPr="00000000">
        <w:rPr>
          <w:b w:val="1"/>
          <w:sz w:val="24"/>
          <w:szCs w:val="24"/>
          <w:shd w:fill="fcfcfd" w:val="clear"/>
          <w:rtl w:val="0"/>
        </w:rPr>
        <w:t xml:space="preserve">4.What are the storage temperature conditions for Silicone DMF 50 – 1,000,000 CSTK ?</w:t>
      </w:r>
    </w:p>
    <w:p w:rsidR="00000000" w:rsidDel="00000000" w:rsidP="00000000" w:rsidRDefault="00000000" w:rsidRPr="00000000" w14:paraId="0000007A">
      <w:pPr>
        <w:jc w:val="both"/>
        <w:rPr>
          <w:sz w:val="24"/>
          <w:szCs w:val="24"/>
          <w:shd w:fill="fcfcfd" w:val="clear"/>
        </w:rPr>
      </w:pPr>
      <w:r w:rsidDel="00000000" w:rsidR="00000000" w:rsidRPr="00000000">
        <w:rPr>
          <w:sz w:val="24"/>
          <w:szCs w:val="24"/>
          <w:shd w:fill="fcfcfd" w:val="clear"/>
          <w:rtl w:val="0"/>
        </w:rPr>
        <w:t xml:space="preserve">The storage temperature conditions for Silicone DMF 50 - 1,000,000 CSTK are that it should be stored at temperatures between 40°F (4.4°C) to 110°F (43.3°C). The container should be kept tightly closed and stored in a cool, dry place out of direct sunlight.</w:t>
      </w:r>
    </w:p>
    <w:p w:rsidR="00000000" w:rsidDel="00000000" w:rsidP="00000000" w:rsidRDefault="00000000" w:rsidRPr="00000000" w14:paraId="0000007B">
      <w:pPr>
        <w:jc w:val="both"/>
        <w:rPr>
          <w:sz w:val="24"/>
          <w:szCs w:val="24"/>
          <w:shd w:fill="fcfcfd" w:val="clear"/>
        </w:rPr>
      </w:pPr>
      <w:r w:rsidDel="00000000" w:rsidR="00000000" w:rsidRPr="00000000">
        <w:rPr>
          <w:rtl w:val="0"/>
        </w:rPr>
      </w:r>
    </w:p>
    <w:p w:rsidR="00000000" w:rsidDel="00000000" w:rsidP="00000000" w:rsidRDefault="00000000" w:rsidRPr="00000000" w14:paraId="0000007C">
      <w:pPr>
        <w:jc w:val="both"/>
        <w:rPr>
          <w:b w:val="1"/>
          <w:sz w:val="24"/>
          <w:szCs w:val="24"/>
          <w:shd w:fill="fcfcfd" w:val="clear"/>
        </w:rPr>
      </w:pPr>
      <w:r w:rsidDel="00000000" w:rsidR="00000000" w:rsidRPr="00000000">
        <w:rPr>
          <w:b w:val="1"/>
          <w:sz w:val="24"/>
          <w:szCs w:val="24"/>
          <w:shd w:fill="fcfcfd" w:val="clear"/>
          <w:rtl w:val="0"/>
        </w:rPr>
        <w:t xml:space="preserve">5.What protective equipment is recommended when handling Silicone DMF 50 – 1,000,000 CSTK ?</w:t>
      </w:r>
    </w:p>
    <w:p w:rsidR="00000000" w:rsidDel="00000000" w:rsidP="00000000" w:rsidRDefault="00000000" w:rsidRPr="00000000" w14:paraId="0000007D">
      <w:pPr>
        <w:jc w:val="both"/>
        <w:rPr>
          <w:sz w:val="24"/>
          <w:szCs w:val="24"/>
          <w:shd w:fill="fcfcfd" w:val="clear"/>
        </w:rPr>
      </w:pPr>
      <w:r w:rsidDel="00000000" w:rsidR="00000000" w:rsidRPr="00000000">
        <w:rPr>
          <w:sz w:val="24"/>
          <w:szCs w:val="24"/>
          <w:shd w:fill="fcfcfd" w:val="clear"/>
          <w:rtl w:val="0"/>
        </w:rPr>
        <w:t xml:space="preserve">Based on the information provided in the data source, the recommended protective equipment when handling Silicone DMF 50 - 1,000,000 CSTK includes: </w:t>
      </w:r>
    </w:p>
    <w:p w:rsidR="00000000" w:rsidDel="00000000" w:rsidP="00000000" w:rsidRDefault="00000000" w:rsidRPr="00000000" w14:paraId="0000007E">
      <w:pPr>
        <w:jc w:val="both"/>
        <w:rPr>
          <w:sz w:val="24"/>
          <w:szCs w:val="24"/>
          <w:shd w:fill="fcfcfd" w:val="clear"/>
        </w:rPr>
      </w:pPr>
      <w:r w:rsidDel="00000000" w:rsidR="00000000" w:rsidRPr="00000000">
        <w:rPr>
          <w:sz w:val="24"/>
          <w:szCs w:val="24"/>
          <w:shd w:fill="fcfcfd" w:val="clear"/>
          <w:rtl w:val="0"/>
        </w:rPr>
        <w:t xml:space="preserve">Respiratory protection: If ventilation is insufficient when heating the product, use a chemical respirator with organic vapor cartridge. </w:t>
      </w:r>
    </w:p>
    <w:p w:rsidR="00000000" w:rsidDel="00000000" w:rsidP="00000000" w:rsidRDefault="00000000" w:rsidRPr="00000000" w14:paraId="0000007F">
      <w:pPr>
        <w:jc w:val="both"/>
        <w:rPr>
          <w:sz w:val="24"/>
          <w:szCs w:val="24"/>
          <w:shd w:fill="fcfcfd" w:val="clear"/>
        </w:rPr>
      </w:pPr>
      <w:r w:rsidDel="00000000" w:rsidR="00000000" w:rsidRPr="00000000">
        <w:rPr>
          <w:sz w:val="24"/>
          <w:szCs w:val="24"/>
          <w:shd w:fill="fcfcfd" w:val="clear"/>
          <w:rtl w:val="0"/>
        </w:rPr>
        <w:t xml:space="preserve">Hand protection: Wear protective gloves. </w:t>
      </w:r>
    </w:p>
    <w:p w:rsidR="00000000" w:rsidDel="00000000" w:rsidP="00000000" w:rsidRDefault="00000000" w:rsidRPr="00000000" w14:paraId="00000080">
      <w:pPr>
        <w:jc w:val="both"/>
        <w:rPr>
          <w:sz w:val="24"/>
          <w:szCs w:val="24"/>
          <w:shd w:fill="fcfcfd" w:val="clear"/>
        </w:rPr>
      </w:pPr>
      <w:r w:rsidDel="00000000" w:rsidR="00000000" w:rsidRPr="00000000">
        <w:rPr>
          <w:sz w:val="24"/>
          <w:szCs w:val="24"/>
          <w:shd w:fill="fcfcfd" w:val="clear"/>
          <w:rtl w:val="0"/>
        </w:rPr>
        <w:t xml:space="preserve">Eye protection: Wear appropriate safety glasses. </w:t>
      </w:r>
    </w:p>
    <w:p w:rsidR="00000000" w:rsidDel="00000000" w:rsidP="00000000" w:rsidRDefault="00000000" w:rsidRPr="00000000" w14:paraId="00000081">
      <w:pPr>
        <w:jc w:val="both"/>
        <w:rPr>
          <w:sz w:val="24"/>
          <w:szCs w:val="24"/>
          <w:shd w:fill="fcfcfd" w:val="clear"/>
        </w:rPr>
      </w:pPr>
      <w:r w:rsidDel="00000000" w:rsidR="00000000" w:rsidRPr="00000000">
        <w:rPr>
          <w:sz w:val="24"/>
          <w:szCs w:val="24"/>
          <w:shd w:fill="fcfcfd" w:val="clear"/>
          <w:rtl w:val="0"/>
        </w:rPr>
        <w:t xml:space="preserve">Skin and body protection: Wear a rubber apron. </w:t>
      </w:r>
    </w:p>
    <w:p w:rsidR="00000000" w:rsidDel="00000000" w:rsidP="00000000" w:rsidRDefault="00000000" w:rsidRPr="00000000" w14:paraId="00000082">
      <w:pPr>
        <w:jc w:val="both"/>
        <w:rPr>
          <w:sz w:val="24"/>
          <w:szCs w:val="24"/>
          <w:shd w:fill="fcfcfd" w:val="clear"/>
        </w:rPr>
      </w:pPr>
      <w:r w:rsidDel="00000000" w:rsidR="00000000" w:rsidRPr="00000000">
        <w:rPr>
          <w:sz w:val="24"/>
          <w:szCs w:val="24"/>
          <w:shd w:fill="fcfcfd" w:val="clear"/>
          <w:rtl w:val="0"/>
        </w:rPr>
        <w:t xml:space="preserve">Other protective equipment: Provide eye wash equipment and safety shower. </w:t>
      </w:r>
    </w:p>
    <w:p w:rsidR="00000000" w:rsidDel="00000000" w:rsidP="00000000" w:rsidRDefault="00000000" w:rsidRPr="00000000" w14:paraId="00000083">
      <w:pPr>
        <w:jc w:val="both"/>
        <w:rPr>
          <w:sz w:val="24"/>
          <w:szCs w:val="24"/>
          <w:shd w:fill="fcfcfd" w:val="clear"/>
        </w:rPr>
      </w:pPr>
      <w:r w:rsidDel="00000000" w:rsidR="00000000" w:rsidRPr="00000000">
        <w:rPr>
          <w:rtl w:val="0"/>
        </w:rPr>
      </w:r>
    </w:p>
    <w:p w:rsidR="00000000" w:rsidDel="00000000" w:rsidP="00000000" w:rsidRDefault="00000000" w:rsidRPr="00000000" w14:paraId="00000084">
      <w:pPr>
        <w:jc w:val="both"/>
        <w:rPr>
          <w:sz w:val="24"/>
          <w:szCs w:val="24"/>
          <w:shd w:fill="fcfcfd" w:val="clear"/>
        </w:rPr>
      </w:pPr>
      <w:r w:rsidDel="00000000" w:rsidR="00000000" w:rsidRPr="00000000">
        <w:rPr>
          <w:sz w:val="24"/>
          <w:szCs w:val="24"/>
          <w:shd w:fill="fcfcfd" w:val="clear"/>
          <w:rtl w:val="0"/>
        </w:rPr>
        <w:t xml:space="preserve">Hygiene measures: Wash hands before breaks and immediately after handling the product. Use adequate ventilation or wear protective equipment such as gloves, goggles, organic vapor respirator or protective clothing when the product is heated to approximately 150°C (300°F) and above in the presence of air, as it can generate formaldehyde which is a skin and respiratory sensitizer, eye and throat irritant, acute toxicant and potential carcinogen.</w:t>
      </w:r>
    </w:p>
    <w:p w:rsidR="00000000" w:rsidDel="00000000" w:rsidP="00000000" w:rsidRDefault="00000000" w:rsidRPr="00000000" w14:paraId="00000085">
      <w:pPr>
        <w:jc w:val="both"/>
        <w:rPr>
          <w:sz w:val="24"/>
          <w:szCs w:val="24"/>
          <w:shd w:fill="fcfcfd" w:val="clea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jc w:val="both"/>
        <w:rPr>
          <w:b w:val="1"/>
          <w:color w:val="000000"/>
          <w:sz w:val="26"/>
          <w:szCs w:val="26"/>
        </w:rPr>
      </w:pPr>
      <w:bookmarkStart w:colFirst="0" w:colLast="0" w:name="_7jz1cssyk71q" w:id="0"/>
      <w:bookmarkEnd w:id="0"/>
      <w:r w:rsidDel="00000000" w:rsidR="00000000" w:rsidRPr="00000000">
        <w:rPr>
          <w:b w:val="1"/>
          <w:color w:val="000000"/>
          <w:sz w:val="26"/>
          <w:szCs w:val="26"/>
          <w:rtl w:val="0"/>
        </w:rPr>
        <w:t xml:space="preserve">Conclusion</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b w:val="1"/>
          <w:rtl w:val="0"/>
        </w:rPr>
        <w:t xml:space="preserve">OpenAI Assistant</w:t>
      </w:r>
      <w:r w:rsidDel="00000000" w:rsidR="00000000" w:rsidRPr="00000000">
        <w:rPr>
          <w:rtl w:val="0"/>
        </w:rPr>
        <w:t xml:space="preserve"> provides more detailed and context-rich answers overall, making it the better choice for thorough understanding and in-depth analysis.</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b w:val="1"/>
          <w:rtl w:val="0"/>
        </w:rPr>
        <w:t xml:space="preserve">Amazon Q</w:t>
      </w:r>
      <w:r w:rsidDel="00000000" w:rsidR="00000000" w:rsidRPr="00000000">
        <w:rPr>
          <w:rtl w:val="0"/>
        </w:rPr>
        <w:t xml:space="preserve"> offers concise and accurate responses, making it easier to read quickly but still informative.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tisolbusinessindia-my.sharepoint.com/:b:/g/personal/jeevankumar_om_optisolbusiness_com/EZnGfXpFM7NJgj6pqbgFzLgBkRQUzTlGkTKl4vibXWmbCw?e=PCzwra" TargetMode="External"/><Relationship Id="rId10" Type="http://schemas.openxmlformats.org/officeDocument/2006/relationships/hyperlink" Target="https://optisolbusinessindia-my.sharepoint.com/:b:/g/personal/jeevankumar_om_optisolbusiness_com/EZnGfXpFM7NJgj6pqbgFzLgBkRQUzTlGkTKl4vibXWmbCw?e=PCzwra" TargetMode="External"/><Relationship Id="rId13" Type="http://schemas.openxmlformats.org/officeDocument/2006/relationships/hyperlink" Target="https://optisolbusinessindia-my.sharepoint.com/:b:/g/personal/jeevankumar_om_optisolbusiness_com/EeQuE32qLutFpZQdtX4MysoB9wC-2EQ1_szpepPPHFB2eQ?e=l7SV2O" TargetMode="External"/><Relationship Id="rId12" Type="http://schemas.openxmlformats.org/officeDocument/2006/relationships/hyperlink" Target="https://optisolbusinessindia-my.sharepoint.com/:b:/g/personal/jeevankumar_om_optisolbusiness_com/EZnGfXpFM7NJgj6pqbgFzLgBkRQUzTlGkTKl4vibXWmbCw?e=PCzw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tisolbusinessindia-my.sharepoint.com/:b:/g/personal/jeevankumar_om_optisolbusiness_com/EZzVdlQTAgdIs7oSsa4YsbQBR5zDZPCYupCf95ig8GgHxw?e=6hW74e" TargetMode="External"/><Relationship Id="rId14" Type="http://schemas.openxmlformats.org/officeDocument/2006/relationships/hyperlink" Target="https://optisolbusinessindia-my.sharepoint.com/:b:/g/personal/jeevankumar_om_optisolbusiness_com/EeQuE32qLutFpZQdtX4MysoB9wC-2EQ1_szpepPPHFB2eQ?e=l7SV2O" TargetMode="External"/><Relationship Id="rId5" Type="http://schemas.openxmlformats.org/officeDocument/2006/relationships/styles" Target="styles.xml"/><Relationship Id="rId6" Type="http://schemas.openxmlformats.org/officeDocument/2006/relationships/hyperlink" Target="https://optisolbusinessindia-my.sharepoint.com/:b:/g/personal/jeevankumar_om_optisolbusiness_com/EYgUVEJbpENKnO3Q8q01304BHl84txCiHKQ9fWZaw11Ymw?e=41w7jb" TargetMode="External"/><Relationship Id="rId7" Type="http://schemas.openxmlformats.org/officeDocument/2006/relationships/hyperlink" Target="https://optisolbusinessindia-my.sharepoint.com/:b:/g/personal/jeevankumar_om_optisolbusiness_com/EYgUVEJbpENKnO3Q8q01304BHl84txCiHKQ9fWZaw11Ymw?e=41w7jb" TargetMode="External"/><Relationship Id="rId8" Type="http://schemas.openxmlformats.org/officeDocument/2006/relationships/hyperlink" Target="https://optisolbusinessindia-my.sharepoint.com/:b:/g/personal/jeevankumar_om_optisolbusiness_com/EZzVdlQTAgdIs7oSsa4YsbQBR5zDZPCYupCf95ig8GgHxw?e=6hW7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