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Employee Engagement, Satisfaction and Burnout Diagnostic Analysis at Palo Alto Networks</w:t>
        <w:br/>
      </w:r>
      <w:r>
        <w:br/>
        <w:t>Research Report</w:t>
        <w:br/>
        <w:t>Prepared by: Deepak Yadav</w:t>
        <w:br/>
        <w:t>Tools: Python | Pandas | NumPy | Google Colab | Power BI | DAX</w:t>
      </w:r>
    </w:p>
    <w:p>
      <w:pPr>
        <w:pStyle w:val="Heading1"/>
      </w:pPr>
      <w:r>
        <w:t>Abstract</w:t>
      </w:r>
    </w:p>
    <w:p>
      <w:r>
        <w:t>Employee engagement, work-life balance and burnout are important indicators of employee experience and potential attrition. This study analyzes 1,470 employee records to identify early warning signals associated with disengagement, workload stress, burnout risk and employee turnover. An Engagement Index was created from Job Involvement, Job Satisfaction, Environment Satisfaction and Relationship Satisfaction. Burnout risk was assessed using overtime and work-life balance, while workload stress incorporated business travel and overtime. Employees with low engagement had an attrition rate of 42.03%, compared with 11.58% among highly engaged employees. The high-burnout group had an attrition rate of 33.33%, while employees working overtime had an attrition rate of 30.53%. The findings demonstrate how HR analytics can support proactive intervention before employee experience issues result in attrition.</w:t>
      </w:r>
    </w:p>
    <w:p>
      <w:pPr>
        <w:pStyle w:val="Heading1"/>
      </w:pPr>
      <w:r>
        <w:t>1. Introduction</w:t>
      </w:r>
    </w:p>
    <w:p>
      <w:r>
        <w:t>High-performing organizations depend on engaged and healthy employees. Declining engagement, poor work-life balance, frequent overtime and high workload can contribute to burnout and employee attrition. This project takes a preventive approach by identifying engagement and well-being signals before employees leave the organization.</w:t>
      </w:r>
    </w:p>
    <w:p>
      <w:pPr>
        <w:pStyle w:val="Heading1"/>
      </w:pPr>
      <w:r>
        <w:t>2. Problem Statement</w:t>
      </w:r>
    </w:p>
    <w:p>
      <w:r>
        <w:t>The project addresses the lack of a unified view of employee engagement, burnout-prone groups, workload stress and their relationship with attrition. Without early-warning indicators, HR interventions may occur only after employee dissatisfaction has intensified.</w:t>
      </w:r>
    </w:p>
    <w:p>
      <w:pPr>
        <w:pStyle w:val="Heading1"/>
      </w:pPr>
      <w:r>
        <w:t>3. Objectives</w:t>
      </w:r>
    </w:p>
    <w:p>
      <w:pPr>
        <w:pStyle w:val="ListBullet"/>
      </w:pPr>
      <w:r>
        <w:t>Create a composite Employee Engagement Index.</w:t>
      </w:r>
    </w:p>
    <w:p>
      <w:pPr>
        <w:pStyle w:val="ListBullet"/>
      </w:pPr>
      <w:r>
        <w:t>Classify employees into Low, Medium and High engagement groups.</w:t>
      </w:r>
    </w:p>
    <w:p>
      <w:pPr>
        <w:pStyle w:val="ListBullet"/>
      </w:pPr>
      <w:r>
        <w:t>Identify burnout risk using overtime and work-life balance.</w:t>
      </w:r>
    </w:p>
    <w:p>
      <w:pPr>
        <w:pStyle w:val="ListBullet"/>
      </w:pPr>
      <w:r>
        <w:t>Create a workload stress indicator using business travel and overtime.</w:t>
      </w:r>
    </w:p>
    <w:p>
      <w:pPr>
        <w:pStyle w:val="ListBullet"/>
      </w:pPr>
      <w:r>
        <w:t>Analyze engagement and burnout across departments, job roles and career stages.</w:t>
      </w:r>
    </w:p>
    <w:p>
      <w:pPr>
        <w:pStyle w:val="ListBullet"/>
      </w:pPr>
      <w:r>
        <w:t>Compare engagement and burnout indicators with employee attrition.</w:t>
      </w:r>
    </w:p>
    <w:p>
      <w:pPr>
        <w:pStyle w:val="ListBullet"/>
      </w:pPr>
      <w:r>
        <w:t>Develop an interactive Power BI dashboard for stakeholder decision-making.</w:t>
      </w:r>
    </w:p>
    <w:p>
      <w:pPr>
        <w:pStyle w:val="Heading1"/>
      </w:pPr>
      <w:r>
        <w:t>4. Dataset Description</w:t>
      </w:r>
    </w:p>
    <w:p>
      <w:r>
        <w:t>The dataset contains 1,470 employee records and 31 original variables covering demographics, job characteristics, satisfaction, career progression, workload and attrition.</w:t>
      </w:r>
    </w:p>
    <w:p>
      <w:pPr>
        <w:pStyle w:val="ListBullet"/>
      </w:pPr>
      <w:r>
        <w:t>Total employees: 1,470</w:t>
      </w:r>
    </w:p>
    <w:p>
      <w:pPr>
        <w:pStyle w:val="ListBullet"/>
      </w:pPr>
      <w:r>
        <w:t>Original features: 31</w:t>
      </w:r>
    </w:p>
    <w:p>
      <w:pPr>
        <w:pStyle w:val="ListBullet"/>
      </w:pPr>
      <w:r>
        <w:t>Missing values: 0</w:t>
      </w:r>
    </w:p>
    <w:p>
      <w:pPr>
        <w:pStyle w:val="ListBullet"/>
      </w:pPr>
      <w:r>
        <w:t>Duplicate rows: 0</w:t>
      </w:r>
    </w:p>
    <w:p>
      <w:pPr>
        <w:pStyle w:val="ListBullet"/>
      </w:pPr>
      <w:r>
        <w:t>Key fields include Department, JobRole, JobLevel, OverTime, BusinessTravel, WorkLifeBalance and Attrition.</w:t>
      </w:r>
    </w:p>
    <w:p>
      <w:pPr>
        <w:pStyle w:val="Heading1"/>
      </w:pPr>
      <w:r>
        <w:t>5. Methodology</w:t>
      </w:r>
    </w:p>
    <w:p>
      <w:r>
        <w:t>The analysis was performed using Python in Google Colab. Data quality was checked for missing values, duplicate records and valid ordinal scales. Relevant satisfaction and work-life variables were validated on their expected 1–4 scales.</w:t>
      </w:r>
    </w:p>
    <w:p>
      <w:pPr>
        <w:pStyle w:val="Heading2"/>
      </w:pPr>
      <w:r>
        <w:t>5.1 Engagement Index Construction</w:t>
      </w:r>
    </w:p>
    <w:p>
      <w:r>
        <w:t>Engagement Index was calculated as the average of Job Involvement, Job Satisfaction, Environment Satisfaction and Relationship Satisfaction. Employees were categorized into Low, Medium and High engagement levels.</w:t>
      </w:r>
    </w:p>
    <w:p>
      <w:pPr>
        <w:pStyle w:val="Heading2"/>
      </w:pPr>
      <w:r>
        <w:t>5.2 Burnout Risk Identification</w:t>
      </w:r>
    </w:p>
    <w:p>
      <w:r>
        <w:t>Burnout Risk Score combined overtime exposure and low work-life balance. Employees were categorized into Low, Medium and High burnout risk.</w:t>
      </w:r>
    </w:p>
    <w:p>
      <w:pPr>
        <w:pStyle w:val="Heading2"/>
      </w:pPr>
      <w:r>
        <w:t>5.3 Workload Stress Indicator</w:t>
      </w:r>
    </w:p>
    <w:p>
      <w:r>
        <w:t>Workload stress was derived by combining business travel intensity and overtime, then classified as Low, Medium or High.</w:t>
      </w:r>
    </w:p>
    <w:p>
      <w:pPr>
        <w:pStyle w:val="Heading2"/>
      </w:pPr>
      <w:r>
        <w:t>5.4 Career Stage Analysis</w:t>
      </w:r>
    </w:p>
    <w:p>
      <w:r>
        <w:t>YearsAtCompany and YearsInCurrentRole were grouped to compare engagement, work-life balance and burnout across career stages.</w:t>
      </w:r>
    </w:p>
    <w:p>
      <w:pPr>
        <w:pStyle w:val="Heading1"/>
      </w:pPr>
      <w:r>
        <w:t>6. Key Performance Indicators</w:t>
      </w:r>
    </w:p>
    <w:tbl>
      <w:tblPr>
        <w:tblStyle w:val="TableGrid"/>
        <w:tblW w:type="auto" w:w="0"/>
        <w:tblLook w:firstColumn="1" w:firstRow="1" w:lastColumn="0" w:lastRow="0" w:noHBand="0" w:noVBand="1" w:val="04A0"/>
      </w:tblPr>
      <w:tblGrid>
        <w:gridCol w:w="4968"/>
        <w:gridCol w:w="4968"/>
      </w:tblGrid>
      <w:tr>
        <w:tc>
          <w:tcPr>
            <w:tcW w:type="dxa" w:w="4968"/>
          </w:tcPr>
          <w:p>
            <w:r>
              <w:t>KPI</w:t>
            </w:r>
          </w:p>
        </w:tc>
        <w:tc>
          <w:tcPr>
            <w:tcW w:type="dxa" w:w="4968"/>
          </w:tcPr>
          <w:p>
            <w:r>
              <w:t>Value</w:t>
            </w:r>
          </w:p>
        </w:tc>
      </w:tr>
      <w:tr>
        <w:tc>
          <w:tcPr>
            <w:tcW w:type="dxa" w:w="4968"/>
          </w:tcPr>
          <w:p>
            <w:r>
              <w:t>Total Employees</w:t>
            </w:r>
          </w:p>
        </w:tc>
        <w:tc>
          <w:tcPr>
            <w:tcW w:type="dxa" w:w="4968"/>
          </w:tcPr>
          <w:p>
            <w:r>
              <w:t>1,470</w:t>
            </w:r>
          </w:p>
        </w:tc>
      </w:tr>
      <w:tr>
        <w:tc>
          <w:tcPr>
            <w:tcW w:type="dxa" w:w="4968"/>
          </w:tcPr>
          <w:p>
            <w:r>
              <w:t>Average Engagement Index</w:t>
            </w:r>
          </w:p>
        </w:tc>
        <w:tc>
          <w:tcPr>
            <w:tcW w:type="dxa" w:w="4968"/>
          </w:tcPr>
          <w:p>
            <w:r>
              <w:t>2.72</w:t>
            </w:r>
          </w:p>
        </w:tc>
      </w:tr>
      <w:tr>
        <w:tc>
          <w:tcPr>
            <w:tcW w:type="dxa" w:w="4968"/>
          </w:tcPr>
          <w:p>
            <w:r>
              <w:t>Average Work-Life Balance</w:t>
            </w:r>
          </w:p>
        </w:tc>
        <w:tc>
          <w:tcPr>
            <w:tcW w:type="dxa" w:w="4968"/>
          </w:tcPr>
          <w:p>
            <w:r>
              <w:t>2.76</w:t>
            </w:r>
          </w:p>
        </w:tc>
      </w:tr>
      <w:tr>
        <w:tc>
          <w:tcPr>
            <w:tcW w:type="dxa" w:w="4968"/>
          </w:tcPr>
          <w:p>
            <w:r>
              <w:t>High Burnout Employees</w:t>
            </w:r>
          </w:p>
        </w:tc>
        <w:tc>
          <w:tcPr>
            <w:tcW w:type="dxa" w:w="4968"/>
          </w:tcPr>
          <w:p>
            <w:r>
              <w:t>126</w:t>
            </w:r>
          </w:p>
        </w:tc>
      </w:tr>
      <w:tr>
        <w:tc>
          <w:tcPr>
            <w:tcW w:type="dxa" w:w="4968"/>
          </w:tcPr>
          <w:p>
            <w:r>
              <w:t>High Burnout Rate</w:t>
            </w:r>
          </w:p>
        </w:tc>
        <w:tc>
          <w:tcPr>
            <w:tcW w:type="dxa" w:w="4968"/>
          </w:tcPr>
          <w:p>
            <w:r>
              <w:t>8.57%</w:t>
            </w:r>
          </w:p>
        </w:tc>
      </w:tr>
      <w:tr>
        <w:tc>
          <w:tcPr>
            <w:tcW w:type="dxa" w:w="4968"/>
          </w:tcPr>
          <w:p>
            <w:r>
              <w:t>High Workload Stress Employees</w:t>
            </w:r>
          </w:p>
        </w:tc>
        <w:tc>
          <w:tcPr>
            <w:tcW w:type="dxa" w:w="4968"/>
          </w:tcPr>
          <w:p>
            <w:r>
              <w:t>381</w:t>
            </w:r>
          </w:p>
        </w:tc>
      </w:tr>
      <w:tr>
        <w:tc>
          <w:tcPr>
            <w:tcW w:type="dxa" w:w="4968"/>
          </w:tcPr>
          <w:p>
            <w:r>
              <w:t>High Workload Stress Rate</w:t>
            </w:r>
          </w:p>
        </w:tc>
        <w:tc>
          <w:tcPr>
            <w:tcW w:type="dxa" w:w="4968"/>
          </w:tcPr>
          <w:p>
            <w:r>
              <w:t>25.92%</w:t>
            </w:r>
          </w:p>
        </w:tc>
      </w:tr>
      <w:tr>
        <w:tc>
          <w:tcPr>
            <w:tcW w:type="dxa" w:w="4968"/>
          </w:tcPr>
          <w:p>
            <w:r>
              <w:t>Overall Attrition Rate</w:t>
            </w:r>
          </w:p>
        </w:tc>
        <w:tc>
          <w:tcPr>
            <w:tcW w:type="dxa" w:w="4968"/>
          </w:tcPr>
          <w:p>
            <w:r>
              <w:t>16.12%</w:t>
            </w:r>
          </w:p>
        </w:tc>
      </w:tr>
      <w:tr>
        <w:tc>
          <w:tcPr>
            <w:tcW w:type="dxa" w:w="4968"/>
          </w:tcPr>
          <w:p>
            <w:r>
              <w:t>Low Engagement Employees</w:t>
            </w:r>
          </w:p>
        </w:tc>
        <w:tc>
          <w:tcPr>
            <w:tcW w:type="dxa" w:w="4968"/>
          </w:tcPr>
          <w:p>
            <w:r>
              <w:t>69</w:t>
            </w:r>
          </w:p>
        </w:tc>
      </w:tr>
    </w:tbl>
    <w:p>
      <w:pPr>
        <w:pStyle w:val="Heading1"/>
      </w:pPr>
      <w:r>
        <w:t>7. Exploratory Data Analysis and Key Findings</w:t>
      </w:r>
    </w:p>
    <w:p>
      <w:pPr>
        <w:pStyle w:val="Heading2"/>
      </w:pPr>
      <w:r>
        <w:t>7.1 Engagement Distribution</w:t>
      </w:r>
    </w:p>
    <w:p>
      <w:r>
        <w:t>Low engagement: 69 employees (4.69%); Medium engagement: 814 employees (55.37%); High engagement: 587 employees (39.93%). The average Engagement Index was 2.72.</w:t>
      </w:r>
    </w:p>
    <w:p>
      <w:pPr>
        <w:pStyle w:val="Heading2"/>
      </w:pPr>
      <w:r>
        <w:t>7.2 Burnout Risk Distribution</w:t>
      </w:r>
    </w:p>
    <w:p>
      <w:r>
        <w:t>Low Risk: 756 employees (51.43%); Medium Risk: 588 employees (40.00%); High Risk: 126 employees (8.57%).</w:t>
      </w:r>
    </w:p>
    <w:p>
      <w:pPr>
        <w:pStyle w:val="Heading2"/>
      </w:pPr>
      <w:r>
        <w:t>7.3 Workload Stress Distribution</w:t>
      </w:r>
    </w:p>
    <w:p>
      <w:r>
        <w:t>Low Stress: 863 employees (58.71%); Medium Stress: 226 employees (15.37%); High Stress: 381 employees (25.92%).</w:t>
      </w:r>
    </w:p>
    <w:p>
      <w:pPr>
        <w:pStyle w:val="Heading2"/>
      </w:pPr>
      <w:r>
        <w:t>7.4 Engagement and Attrition</w:t>
      </w:r>
    </w:p>
    <w:tbl>
      <w:tblPr>
        <w:tblStyle w:val="TableGrid"/>
        <w:tblW w:type="auto" w:w="0"/>
        <w:tblLook w:firstColumn="1" w:firstRow="1" w:lastColumn="0" w:lastRow="0" w:noHBand="0" w:noVBand="1" w:val="04A0"/>
      </w:tblPr>
      <w:tblGrid>
        <w:gridCol w:w="4968"/>
        <w:gridCol w:w="4968"/>
      </w:tblGrid>
      <w:tr>
        <w:tc>
          <w:tcPr>
            <w:tcW w:type="dxa" w:w="4968"/>
          </w:tcPr>
          <w:p>
            <w:r>
              <w:t>Engagement Level</w:t>
            </w:r>
          </w:p>
        </w:tc>
        <w:tc>
          <w:tcPr>
            <w:tcW w:type="dxa" w:w="4968"/>
          </w:tcPr>
          <w:p>
            <w:r>
              <w:t>Attrition Rate</w:t>
            </w:r>
          </w:p>
        </w:tc>
      </w:tr>
      <w:tr>
        <w:tc>
          <w:tcPr>
            <w:tcW w:type="dxa" w:w="4968"/>
          </w:tcPr>
          <w:p>
            <w:r>
              <w:t>Low</w:t>
            </w:r>
          </w:p>
        </w:tc>
        <w:tc>
          <w:tcPr>
            <w:tcW w:type="dxa" w:w="4968"/>
          </w:tcPr>
          <w:p>
            <w:r>
              <w:t>42.03%</w:t>
            </w:r>
          </w:p>
        </w:tc>
      </w:tr>
      <w:tr>
        <w:tc>
          <w:tcPr>
            <w:tcW w:type="dxa" w:w="4968"/>
          </w:tcPr>
          <w:p>
            <w:r>
              <w:t>Medium</w:t>
            </w:r>
          </w:p>
        </w:tc>
        <w:tc>
          <w:tcPr>
            <w:tcW w:type="dxa" w:w="4968"/>
          </w:tcPr>
          <w:p>
            <w:r>
              <w:t>17.20%</w:t>
            </w:r>
          </w:p>
        </w:tc>
      </w:tr>
      <w:tr>
        <w:tc>
          <w:tcPr>
            <w:tcW w:type="dxa" w:w="4968"/>
          </w:tcPr>
          <w:p>
            <w:r>
              <w:t>High</w:t>
            </w:r>
          </w:p>
        </w:tc>
        <w:tc>
          <w:tcPr>
            <w:tcW w:type="dxa" w:w="4968"/>
          </w:tcPr>
          <w:p>
            <w:r>
              <w:t>11.58%</w:t>
            </w:r>
          </w:p>
        </w:tc>
      </w:tr>
    </w:tbl>
    <w:p>
      <w:r>
        <w:t>Low engagement was strongly associated with higher attrition.</w:t>
      </w:r>
    </w:p>
    <w:p>
      <w:pPr>
        <w:pStyle w:val="Heading2"/>
      </w:pPr>
      <w:r>
        <w:t>7.5 Burnout Risk and Attrition</w:t>
      </w:r>
    </w:p>
    <w:tbl>
      <w:tblPr>
        <w:tblStyle w:val="TableGrid"/>
        <w:tblW w:type="auto" w:w="0"/>
        <w:tblLook w:firstColumn="1" w:firstRow="1" w:lastColumn="0" w:lastRow="0" w:noHBand="0" w:noVBand="1" w:val="04A0"/>
      </w:tblPr>
      <w:tblGrid>
        <w:gridCol w:w="4968"/>
        <w:gridCol w:w="4968"/>
      </w:tblGrid>
      <w:tr>
        <w:tc>
          <w:tcPr>
            <w:tcW w:type="dxa" w:w="4968"/>
          </w:tcPr>
          <w:p>
            <w:r>
              <w:t>Burnout Risk</w:t>
            </w:r>
          </w:p>
        </w:tc>
        <w:tc>
          <w:tcPr>
            <w:tcW w:type="dxa" w:w="4968"/>
          </w:tcPr>
          <w:p>
            <w:r>
              <w:t>Attrition Rate</w:t>
            </w:r>
          </w:p>
        </w:tc>
      </w:tr>
      <w:tr>
        <w:tc>
          <w:tcPr>
            <w:tcW w:type="dxa" w:w="4968"/>
          </w:tcPr>
          <w:p>
            <w:r>
              <w:t>High</w:t>
            </w:r>
          </w:p>
        </w:tc>
        <w:tc>
          <w:tcPr>
            <w:tcW w:type="dxa" w:w="4968"/>
          </w:tcPr>
          <w:p>
            <w:r>
              <w:t>33.33%</w:t>
            </w:r>
          </w:p>
        </w:tc>
      </w:tr>
      <w:tr>
        <w:tc>
          <w:tcPr>
            <w:tcW w:type="dxa" w:w="4968"/>
          </w:tcPr>
          <w:p>
            <w:r>
              <w:t>Medium</w:t>
            </w:r>
          </w:p>
        </w:tc>
        <w:tc>
          <w:tcPr>
            <w:tcW w:type="dxa" w:w="4968"/>
          </w:tcPr>
          <w:p>
            <w:r>
              <w:t>21.43%</w:t>
            </w:r>
          </w:p>
        </w:tc>
      </w:tr>
      <w:tr>
        <w:tc>
          <w:tcPr>
            <w:tcW w:type="dxa" w:w="4968"/>
          </w:tcPr>
          <w:p>
            <w:r>
              <w:t>Low</w:t>
            </w:r>
          </w:p>
        </w:tc>
        <w:tc>
          <w:tcPr>
            <w:tcW w:type="dxa" w:w="4968"/>
          </w:tcPr>
          <w:p>
            <w:r>
              <w:t>9.13%</w:t>
            </w:r>
          </w:p>
        </w:tc>
      </w:tr>
    </w:tbl>
    <w:p>
      <w:pPr>
        <w:pStyle w:val="Heading2"/>
      </w:pPr>
      <w:r>
        <w:t>7.6 Overtime and Attrition</w:t>
      </w:r>
    </w:p>
    <w:p>
      <w:r>
        <w:t>Employees not working overtime had an attrition rate of 10.44%, while employees working overtime had an attrition rate of 30.53%.</w:t>
      </w:r>
    </w:p>
    <w:p>
      <w:pPr>
        <w:pStyle w:val="Heading2"/>
      </w:pPr>
      <w:r>
        <w:t>7.7 Department Analysis</w:t>
      </w:r>
    </w:p>
    <w:tbl>
      <w:tblPr>
        <w:tblStyle w:val="TableGrid"/>
        <w:tblW w:type="auto" w:w="0"/>
        <w:tblLook w:firstColumn="1" w:firstRow="1" w:lastColumn="0" w:lastRow="0" w:noHBand="0" w:noVBand="1" w:val="04A0"/>
      </w:tblPr>
      <w:tblGrid>
        <w:gridCol w:w="4968"/>
        <w:gridCol w:w="4968"/>
      </w:tblGrid>
      <w:tr>
        <w:tc>
          <w:tcPr>
            <w:tcW w:type="dxa" w:w="4968"/>
          </w:tcPr>
          <w:p>
            <w:r>
              <w:t>Department</w:t>
            </w:r>
          </w:p>
        </w:tc>
        <w:tc>
          <w:tcPr>
            <w:tcW w:type="dxa" w:w="4968"/>
          </w:tcPr>
          <w:p>
            <w:r>
              <w:t>Attrition Rate</w:t>
            </w:r>
          </w:p>
        </w:tc>
      </w:tr>
      <w:tr>
        <w:tc>
          <w:tcPr>
            <w:tcW w:type="dxa" w:w="4968"/>
          </w:tcPr>
          <w:p>
            <w:r>
              <w:t>Sales</w:t>
            </w:r>
          </w:p>
        </w:tc>
        <w:tc>
          <w:tcPr>
            <w:tcW w:type="dxa" w:w="4968"/>
          </w:tcPr>
          <w:p>
            <w:r>
              <w:t>20.63%</w:t>
            </w:r>
          </w:p>
        </w:tc>
      </w:tr>
      <w:tr>
        <w:tc>
          <w:tcPr>
            <w:tcW w:type="dxa" w:w="4968"/>
          </w:tcPr>
          <w:p>
            <w:r>
              <w:t>Human Resources</w:t>
            </w:r>
          </w:p>
        </w:tc>
        <w:tc>
          <w:tcPr>
            <w:tcW w:type="dxa" w:w="4968"/>
          </w:tcPr>
          <w:p>
            <w:r>
              <w:t>19.05%</w:t>
            </w:r>
          </w:p>
        </w:tc>
      </w:tr>
      <w:tr>
        <w:tc>
          <w:tcPr>
            <w:tcW w:type="dxa" w:w="4968"/>
          </w:tcPr>
          <w:p>
            <w:r>
              <w:t>Research &amp; Development</w:t>
            </w:r>
          </w:p>
        </w:tc>
        <w:tc>
          <w:tcPr>
            <w:tcW w:type="dxa" w:w="4968"/>
          </w:tcPr>
          <w:p>
            <w:r>
              <w:t>13.84%</w:t>
            </w:r>
          </w:p>
        </w:tc>
      </w:tr>
    </w:tbl>
    <w:p>
      <w:pPr>
        <w:pStyle w:val="Heading2"/>
      </w:pPr>
      <w:r>
        <w:t>7.8 Job Role Analysis</w:t>
      </w:r>
    </w:p>
    <w:p>
      <w:r>
        <w:t>The highest attrition rates were observed among Sales Representatives (39.76%), Laboratory Technicians (23.94%) and Human Resources roles (23.08%).</w:t>
      </w:r>
    </w:p>
    <w:p>
      <w:pPr>
        <w:pStyle w:val="Heading2"/>
      </w:pPr>
      <w:r>
        <w:t>7.9 Career Stage and Job Level Analysis</w:t>
      </w:r>
    </w:p>
    <w:p>
      <w:r>
        <w:t>Average engagement remained relatively stable across job levels, approximately ranging from 2.67 to 2.78. Tenure groups also showed relatively stable engagement values, suggesting that workload, burnout and role-specific factors should be considered alongside tenure.</w:t>
      </w:r>
    </w:p>
    <w:p>
      <w:pPr>
        <w:pStyle w:val="Heading1"/>
      </w:pPr>
      <w:r>
        <w:t>8. Power BI Dashboard</w:t>
      </w:r>
    </w:p>
    <w:p>
      <w:r>
        <w:t>An interactive Power BI dashboard was developed to communicate the analysis through KPI cards, charts and interactive filters.</w:t>
      </w:r>
    </w:p>
    <w:p>
      <w:pPr>
        <w:pStyle w:val="ListBullet"/>
      </w:pPr>
      <w:r>
        <w:t>Executive KPIs for employees, engagement, work-life balance, burnout, workload stress and attrition.</w:t>
      </w:r>
    </w:p>
    <w:p>
      <w:pPr>
        <w:pStyle w:val="ListBullet"/>
      </w:pPr>
      <w:r>
        <w:t>Engagement and burnout distributions.</w:t>
      </w:r>
    </w:p>
    <w:p>
      <w:pPr>
        <w:pStyle w:val="ListBullet"/>
      </w:pPr>
      <w:r>
        <w:t>Attrition analysis by engagement level, burnout risk, department, overtime and job role.</w:t>
      </w:r>
    </w:p>
    <w:p>
      <w:pPr>
        <w:pStyle w:val="ListBullet"/>
      </w:pPr>
      <w:r>
        <w:t>Engagement analysis by job level and tenure group.</w:t>
      </w:r>
    </w:p>
    <w:p>
      <w:pPr>
        <w:pStyle w:val="ListBullet"/>
      </w:pPr>
      <w:r>
        <w:t>Work-life balance and burnout analysis by department.</w:t>
      </w:r>
    </w:p>
    <w:p>
      <w:pPr>
        <w:pStyle w:val="ListBullet"/>
      </w:pPr>
      <w:r>
        <w:t>Interactive filters for Department, Job Role, OverTime and Engagement Level.</w:t>
      </w:r>
    </w:p>
    <w:p>
      <w:pPr>
        <w:pStyle w:val="Heading1"/>
      </w:pPr>
      <w:r>
        <w:t>9. Recommendations</w:t>
      </w:r>
    </w:p>
    <w:p>
      <w:pPr>
        <w:pStyle w:val="ListBullet"/>
      </w:pPr>
      <w:r>
        <w:t>Prioritize intervention for employees with low engagement.</w:t>
      </w:r>
    </w:p>
    <w:p>
      <w:pPr>
        <w:pStyle w:val="ListBullet"/>
      </w:pPr>
      <w:r>
        <w:t>Monitor high-burnout groups and review workload allocation.</w:t>
      </w:r>
    </w:p>
    <w:p>
      <w:pPr>
        <w:pStyle w:val="ListBullet"/>
      </w:pPr>
      <w:r>
        <w:t>Review overtime practices because overtime employees showed substantially higher attrition.</w:t>
      </w:r>
    </w:p>
    <w:p>
      <w:pPr>
        <w:pStyle w:val="ListBullet"/>
      </w:pPr>
      <w:r>
        <w:t>Develop targeted retention strategies for high-attrition departments and job roles.</w:t>
      </w:r>
    </w:p>
    <w:p>
      <w:pPr>
        <w:pStyle w:val="ListBullet"/>
      </w:pPr>
      <w:r>
        <w:t>Strengthen work-life balance initiatives and manager-led employee check-ins.</w:t>
      </w:r>
    </w:p>
    <w:p>
      <w:pPr>
        <w:pStyle w:val="ListBullet"/>
      </w:pPr>
      <w:r>
        <w:t>Use engagement and burnout indicators as recurring early-warning metrics.</w:t>
      </w:r>
    </w:p>
    <w:p>
      <w:pPr>
        <w:pStyle w:val="ListBullet"/>
      </w:pPr>
      <w:r>
        <w:t>Combine quantitative findings with employee feedback before making individual-level decisions.</w:t>
      </w:r>
    </w:p>
    <w:p>
      <w:pPr>
        <w:pStyle w:val="Heading1"/>
      </w:pPr>
      <w:r>
        <w:t>10. Conclusion</w:t>
      </w:r>
    </w:p>
    <w:p>
      <w:r>
        <w:t>This project demonstrates a preventive approach to HR analytics by combining employee engagement, work-life balance, overtime and travel indicators to identify burnout and workload stress patterns before attrition occurs. Low engagement, high burnout and overtime were important warning signals in the analyzed dataset. The Power BI dashboard converts these findings into an interactive decision-support tool for proactive HR intervention.</w:t>
      </w:r>
    </w:p>
    <w:p>
      <w:pPr>
        <w:pStyle w:val="Heading1"/>
      </w:pPr>
      <w:r>
        <w:t>11. Tools and Technologies</w:t>
      </w:r>
    </w:p>
    <w:p>
      <w:pPr>
        <w:pStyle w:val="ListBullet"/>
      </w:pPr>
      <w:r>
        <w:t>Python</w:t>
      </w:r>
    </w:p>
    <w:p>
      <w:pPr>
        <w:pStyle w:val="ListBullet"/>
      </w:pPr>
      <w:r>
        <w:t>Pandas</w:t>
      </w:r>
    </w:p>
    <w:p>
      <w:pPr>
        <w:pStyle w:val="ListBullet"/>
      </w:pPr>
      <w:r>
        <w:t>NumPy</w:t>
      </w:r>
    </w:p>
    <w:p>
      <w:pPr>
        <w:pStyle w:val="ListBullet"/>
      </w:pPr>
      <w:r>
        <w:t>Google Colab</w:t>
      </w:r>
    </w:p>
    <w:p>
      <w:pPr>
        <w:pStyle w:val="ListBullet"/>
      </w:pPr>
      <w:r>
        <w:t>Power BI</w:t>
      </w:r>
    </w:p>
    <w:p>
      <w:pPr>
        <w:pStyle w:val="ListBullet"/>
      </w:pPr>
      <w:r>
        <w:t>DAX</w:t>
      </w:r>
    </w:p>
    <w:p>
      <w:pPr>
        <w:pStyle w:val="ListBullet"/>
      </w:pPr>
      <w:r>
        <w:t>GitHub</w:t>
      </w:r>
    </w:p>
    <w:p>
      <w:pPr>
        <w:pStyle w:val="Heading1"/>
      </w:pPr>
      <w:r>
        <w:t>12. Project Deliverables</w:t>
      </w:r>
    </w:p>
    <w:p>
      <w:pPr>
        <w:pStyle w:val="ListBullet"/>
      </w:pPr>
      <w:r>
        <w:t>Python-based data analysis and feature engineering</w:t>
      </w:r>
    </w:p>
    <w:p>
      <w:pPr>
        <w:pStyle w:val="ListBullet"/>
      </w:pPr>
      <w:r>
        <w:t>Final enriched CSV dataset</w:t>
      </w:r>
    </w:p>
    <w:p>
      <w:pPr>
        <w:pStyle w:val="ListBullet"/>
      </w:pPr>
      <w:r>
        <w:t>Interactive Power BI dashboard (.pbix)</w:t>
      </w:r>
    </w:p>
    <w:p>
      <w:pPr>
        <w:pStyle w:val="ListBullet"/>
      </w:pPr>
      <w:r>
        <w:t>Dashboard screenshots</w:t>
      </w:r>
    </w:p>
    <w:p>
      <w:pPr>
        <w:pStyle w:val="ListBullet"/>
      </w:pPr>
      <w:r>
        <w:t>Research report</w:t>
      </w:r>
    </w:p>
    <w:p>
      <w:pPr>
        <w:pStyle w:val="ListBullet"/>
      </w:pPr>
      <w:r>
        <w:t>GitHub project repository</w:t>
      </w:r>
    </w:p>
    <w:p>
      <w:pPr>
        <w:pStyle w:val="Heading1"/>
      </w:pPr>
      <w:r>
        <w:t>Author</w:t>
      </w:r>
    </w:p>
    <w:p>
      <w:r>
        <w:t>Deepak Yadav</w:t>
        <w:br/>
        <w:t>Aspiring Data Analyst | Python | SQL | Power BI | Excel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