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48"/>
        </w:rPr>
        <w:t>DACS — Results Capture Log</w:t>
      </w:r>
    </w:p>
    <w:p>
      <w:pPr>
        <w:jc w:val="center"/>
      </w:pPr>
      <w:r>
        <w:rPr>
          <w:b w:val="0"/>
          <w:color w:val="2E75B6"/>
          <w:sz w:val="26"/>
        </w:rPr>
        <w:t>Domain-Aware Calibration Selection for Quantizing Fine-Tuned Language Models</w:t>
      </w:r>
    </w:p>
    <w:p/>
    <w:p>
      <w:pPr>
        <w:jc w:val="center"/>
      </w:pPr>
      <w:r>
        <w:rPr>
          <w:i/>
          <w:color w:val="404040"/>
          <w:sz w:val="20"/>
        </w:rPr>
        <w:t>Record all experimental results in this document. Fill in every cell.</w:t>
        <w:br/>
        <w:t>Empty cells = incomplete experiments. Bold the best result per row when finalising.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Researcher</w:t>
            </w:r>
          </w:p>
        </w:tc>
        <w:tc>
          <w:tcPr>
            <w:tcW w:type="dxa" w:w="7200"/>
            <w:shd w:val="clear" w:color="auto" w:fill="F2F8FF"/>
          </w:tcPr>
          <w:p>
            <w:r>
              <w:t>Deepank Dixit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 Started</w:t>
            </w:r>
          </w:p>
        </w:tc>
        <w:tc>
          <w:tcPr>
            <w:tcW w:type="dxa" w:w="7200"/>
            <w:shd w:val="clear" w:color="auto" w:fill="FFFFFF"/>
          </w:tcPr>
          <w:p>
            <w:r>
              <w:t>2026-03-27 (Activity 1 baseline complete)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 Model</w:t>
            </w:r>
          </w:p>
        </w:tc>
        <w:tc>
          <w:tcPr>
            <w:tcW w:type="dxa" w:w="7200"/>
            <w:shd w:val="clear" w:color="auto" w:fill="F2F8FF"/>
          </w:tcPr>
          <w:p>
            <w:pPr>
              <w:jc w:val="left"/>
            </w:pPr>
            <w:r>
              <w:rPr>
                <w:b w:val="0"/>
                <w:sz w:val="18"/>
              </w:rPr>
              <w:t>Llama-3.1-8B-Instruct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Fine-tuned Domain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Cybersecurity (Activity 0 complete)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Adapter Location</w:t>
            </w:r>
          </w:p>
        </w:tc>
        <w:tc>
          <w:tcPr>
            <w:tcW w:type="dxa" w:w="7200"/>
            <w:shd w:val="clear" w:color="auto" w:fill="F2F8FF"/>
          </w:tcPr>
          <w:p>
            <w:r>
              <w:t>/Users/deepankdixit/Documents/projects/LoraForge/outputs/cybersec_analyst_lora/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Merged Model Path</w:t>
            </w:r>
          </w:p>
        </w:tc>
        <w:tc>
          <w:tcPr>
            <w:tcW w:type="dxa" w:w="7200"/>
            <w:shd w:val="clear" w:color="auto" w:fill="FFFFFF"/>
          </w:tcPr>
          <w:p>
            <w:r>
              <w:t>Rebuilt from adapter on-demand via LoraForge Activity 1 pipeline (merge_and_unload). Disk path: LoraForge/outputs/ [16GB, not persisted — regenerate with activity1_baseline/merge/merge_adapter.py)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Compute Platform</w:t>
            </w:r>
          </w:p>
        </w:tc>
        <w:tc>
          <w:tcPr>
            <w:tcW w:type="dxa" w:w="7200"/>
            <w:shd w:val="clear" w:color="auto" w:fill="F2F8FF"/>
          </w:tcPr>
          <w:p>
            <w:pPr>
              <w:jc w:val="left"/>
            </w:pPr>
            <w:r>
              <w:rPr>
                <w:b w:val="0"/>
                <w:sz w:val="18"/>
              </w:rPr>
              <w:t>Lambda Cloud A10G / A100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Results Log Version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E79"/>
          <w:sz w:val="28"/>
        </w:rPr>
        <w:t>Section 1 — Activity 1: FP16 Baseline Scores</w:t>
      </w:r>
    </w:p>
    <w:p>
      <w:pPr>
        <w:spacing w:after="80" w:before="0"/>
      </w:pPr>
      <w:r>
        <w:rPr>
          <w:i w:val="0"/>
          <w:sz w:val="18"/>
        </w:rPr>
        <w:t>Record the gold-standard unquantized accuracy. All quantized models are compared against these numbers.</w:t>
      </w:r>
    </w:p>
    <w:p>
      <w:pPr>
        <w:pStyle w:val="Heading2"/>
      </w:pPr>
      <w:r>
        <w:rPr>
          <w:b/>
          <w:color w:val="2E75B6"/>
          <w:sz w:val="22"/>
        </w:rPr>
        <w:t>1.1 Cybersecurity Domain — FP16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(%)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CyberSecEval 4 — Overall Accuracy</w:t>
            </w:r>
          </w:p>
        </w:tc>
        <w:tc>
          <w:tcPr>
            <w:tcW w:type="dxa" w:w="3600"/>
            <w:shd w:val="clear" w:color="auto" w:fill="F2F2F2"/>
          </w:tcPr>
          <w:p>
            <w:r>
              <w:t>~44–46% (WMDP-Cyber proxy; FP8 C1=44.19%, FP8 C3=44.19%)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MMLU — Overall Accuracy</w:t>
            </w:r>
          </w:p>
        </w:tc>
        <w:tc>
          <w:tcPr>
            <w:tcW w:type="dxa" w:w="3600"/>
            <w:shd w:val="clear" w:color="auto" w:fill="FFFFFF"/>
          </w:tcPr>
          <w:p>
            <w:r>
              <w:t>~63–65% (MMLU; FP8 all conditions=62.18%)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Domain Perplexity (held-out eval split)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b/>
                <w:color w:val="16A34A"/>
              </w:rPr>
              <w:t>3.68 (merged FP16 model, 500-sample cybersec eval)</w:t>
            </w:r>
          </w:p>
        </w:tc>
      </w:tr>
    </w:tbl>
    <w:p/>
    <w:p>
      <w:pPr>
        <w:pStyle w:val="Heading2"/>
      </w:pPr>
      <w:r>
        <w:rPr>
          <w:b/>
          <w:color w:val="2E75B6"/>
          <w:sz w:val="22"/>
        </w:rPr>
        <w:t>1.2 Biomedical Domain — FP16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(%)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MedQA (USMLE 4-choice) — Accuracy</w:t>
            </w:r>
          </w:p>
        </w:tc>
        <w:tc>
          <w:tcPr>
            <w:tcW w:type="dxa" w:w="360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63.20%  (500q limit, seed=42)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PubMedQA — Accuracy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 (not evaluated)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MMLU Medical Subset — Accuracy</w:t>
            </w:r>
          </w:p>
        </w:tc>
        <w:tc>
          <w:tcPr>
            <w:tcW w:type="dxa" w:w="360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60.70%</w:t>
            </w:r>
          </w:p>
        </w:tc>
      </w:tr>
    </w:tbl>
    <w:p/>
    <w:p>
      <w:pPr>
        <w:pStyle w:val="Heading2"/>
      </w:pPr>
      <w:r>
        <w:rPr>
          <w:b/>
          <w:color w:val="2E75B6"/>
          <w:sz w:val="22"/>
        </w:rPr>
        <w:t>1.3 Code Domain — FP16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(%)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HumanEval — pass@1</w:t>
            </w:r>
          </w:p>
        </w:tc>
        <w:tc>
          <w:tcPr>
            <w:tcW w:type="dxa" w:w="360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N/A (prompting bug; 1.83% unreliable)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MBPP — pass@1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Not evaluated (fallback not triggered)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MMLU Full Accuracy (STEM not isolated)</w:t>
            </w:r>
          </w:p>
        </w:tc>
        <w:tc>
          <w:tcPr>
            <w:tcW w:type="dxa" w:w="360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38.38%</w:t>
            </w:r>
          </w:p>
        </w:tc>
      </w:tr>
    </w:tbl>
    <w:p>
      <w:pPr>
        <w:pBdr>
          <w:bottom w:val="single" w:sz="4" w:space="1" w:color="2E75B6"/>
        </w:pBdr>
        <w:spacing w:after="120" w:before="120"/>
      </w:pPr>
    </w:p>
    <w:p>
      <w:r>
        <w:br w:type="page"/>
      </w:r>
    </w:p>
    <w:p>
      <w:r>
        <w:rPr>
          <w:sz w:val="18"/>
        </w:rPr>
        <w:t xml:space="preserve"> </w:t>
      </w:r>
    </w:p>
    <w:p>
      <w:r>
        <w:rPr>
          <w:sz w:val="18"/>
        </w:rPr>
        <w:t xml:space="preserve">  GPU: NVIDIA A10 (22GB HBM) | Framework: vLLM 0.14.0 | Precision: FP16</w:t>
      </w:r>
    </w:p>
    <w:p>
      <w:r>
        <w:rPr>
          <w:color w:val="028090"/>
          <w:sz w:val="18"/>
        </w:rPr>
        <w:t xml:space="preserve">  Peak throughput @ concurrency=32, 128-tok:   684.4 tok/s</w:t>
      </w:r>
    </w:p>
    <w:p>
      <w:r>
        <w:rPr>
          <w:color w:val="028090"/>
          <w:sz w:val="18"/>
        </w:rPr>
        <w:t xml:space="preserve">  Throughput @ concurrency=8, 512-tok prompt:  204.8 tok/s</w:t>
      </w:r>
    </w:p>
    <w:p>
      <w:r>
        <w:rPr>
          <w:color w:val="028090"/>
          <w:sz w:val="18"/>
        </w:rPr>
        <w:t xml:space="preserve">  TTFT P95 @ concurrency=1, 512-tok prompt: 88.4 ms</w:t>
      </w:r>
    </w:p>
    <w:p>
      <w:r>
        <w:rPr>
          <w:color w:val="028090"/>
          <w:sz w:val="18"/>
        </w:rPr>
        <w:t xml:space="preserve">  TTFT P50 @ concurrency=1, 512-tok prompt: 85.3 ms</w:t>
      </w:r>
    </w:p>
    <w:p>
      <w:r>
        <w:rPr>
          <w:sz w:val="18"/>
        </w:rPr>
        <w:t xml:space="preserve">These are the FP16 latency baselines that quantized models (Activity 2) will be compared against:</w:t>
      </w:r>
    </w:p>
    <w:p>
      <w:r>
        <w:rPr>
          <w:b/>
          <w:color w:val="1E2761"/>
          <w:sz w:val="18"/>
        </w:rPr>
        <w:t xml:space="preserve">FP16 INFERENCE PERFORMANCE REFERENCE (from LoraForge baseline_results.json, 2026-03-27)</w:t>
      </w:r>
    </w:p>
    <w:p>
      <w:r>
        <w:rPr>
          <w:sz w:val="18"/>
        </w:rPr>
        <w:t xml:space="preserve"> </w:t>
      </w:r>
    </w:p>
    <w:p>
      <w:pPr>
        <w:pStyle w:val="Heading1"/>
      </w:pPr>
      <w:r>
        <w:rPr>
          <w:b/>
          <w:color w:val="1F4E79"/>
          <w:sz w:val="28"/>
        </w:rPr>
        <w:t>Section 2 — Main Results: All Domains × Formats × Calibration Conditions</w:t>
      </w:r>
    </w:p>
    <w:p>
      <w:pPr>
        <w:spacing w:after="80" w:before="0"/>
      </w:pPr>
      <w:r>
        <w:rPr>
          <w:i/>
          <w:sz w:val="18"/>
        </w:rPr>
        <w:t>This is Table 1 in the paper. Fill every cell. Bold the best result per row when writing the paper. C3 (DACS) should outperform C1 and C2 on domain benchmarks. MMLU scores across C1/C2/C3 should be similar (control check).</w:t>
      </w:r>
    </w:p>
    <w:p>
      <w:pPr>
        <w:pStyle w:val="Heading2"/>
      </w:pPr>
      <w:r>
        <w:rPr>
          <w:b/>
          <w:color w:val="2E75B6"/>
          <w:sz w:val="22"/>
        </w:rPr>
        <w:t>2.1 Domain: Cybersecurity (Llama-3.1-8B fine-tuned, Activity 0)</w:t>
      </w:r>
    </w:p>
    <w:p>
      <w:pPr>
        <w:spacing w:after="80" w:before="0"/>
      </w:pPr>
      <w:r>
        <w:rPr>
          <w:i w:val="0"/>
          <w:sz w:val="18"/>
        </w:rPr>
        <w:t>Metrics: CyberSecEval Accuracy (%) | MMLU Accuracy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C1</w:t>
              <w:br/>
              <w:t>Generic</w:t>
              <w:br/>
              <w:t>(WikiText)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C2</w:t>
              <w:br/>
              <w:t>Self-Calib</w:t>
              <w:br/>
              <w:t>(Williams '25)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C3</w:t>
              <w:br/>
              <w:t>DACS</w:t>
              <w:br/>
              <w:t>(Proposed)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sz w:val="16"/>
              </w:rPr>
              <w:t>FP16</w:t>
              <w:br/>
              <w:t>(Baseline)</w:t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WMDP-Cyber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41.22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41.02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41.77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MMLU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59.42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59.72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59.64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/>
                <w:sz w:val="16"/>
              </w:rPr>
              <w:t>INT4</w:t>
              <w:br/>
              <w:t>AWQ</w:t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WMDP-Cyber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42.43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40.61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42.17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MMLU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59.23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49.92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56.22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sz w:val="16"/>
              </w:rPr>
              <w:t>INT8</w:t>
              <w:br/>
              <w:t>SmoothQuant</w:t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WMDP-Cyber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44.19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42.73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44.19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MMLU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62.18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62.18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62.18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/>
                <w:sz w:val="16"/>
              </w:rPr>
              <w:t>FP8</w:t>
              <w:br/>
              <w:t>E4M3</w:t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WMDP-Cyber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MMLU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</w:tbl>
    <w:p/>
    <w:p>
      <w:r>
        <w:rPr>
          <w:b/>
          <w:sz w:val="18"/>
        </w:rPr>
        <w:t>Observations / Notes: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/>
    <w:p>
      <w:pPr>
        <w:pStyle w:val="Heading2"/>
      </w:pPr>
      <w:r>
        <w:rPr>
          <w:b/>
          <w:color w:val="2E75B6"/>
          <w:sz w:val="22"/>
        </w:rPr>
        <w:t>2.2 Domain: Biomedical (Llama-3-Med42-8B or MedAlpaca)</w:t>
      </w:r>
    </w:p>
    <w:p>
      <w:pPr>
        <w:spacing w:after="80" w:before="0"/>
      </w:pPr>
      <w:r>
        <w:rPr>
          <w:i w:val="0"/>
          <w:sz w:val="18"/>
        </w:rPr>
        <w:t>Metrics: MedQA Accuracy (%) | MMLU Medical Accuracy (%)</w:t>
      </w:r>
    </w:p>
    <w:p>
      <w:pPr>
        <w:spacing w:after="60" w:before="40"/>
      </w:pPr>
      <w:r>
        <w:rPr>
          <w:sz w:val="20"/>
        </w:rPr>
        <w:t>Checkpoint used: m42-health/Llama3-Med42-8B  (8B params, FP16)</w:t>
      </w:r>
    </w:p>
    <w:p>
      <w:pPr>
        <w:spacing w:after="60" w:before="40"/>
      </w:pPr>
      <w:r>
        <w:rPr>
          <w:sz w:val="20"/>
        </w:rPr>
        <w:t>HuggingFace path: m42-health/Llama3-Med42-8B  →  ./outputs/med_fp16/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C1</w:t>
              <w:br/>
              <w:t>Generic</w:t>
              <w:br/>
              <w:t>(WikiText)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C2</w:t>
              <w:br/>
              <w:t>Self-Calib</w:t>
              <w:br/>
              <w:t>(Williams '25)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C3</w:t>
              <w:br/>
              <w:t>DACS</w:t>
              <w:br/>
              <w:t>(Proposed)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sz w:val="16"/>
              </w:rPr>
              <w:t>FP16</w:t>
              <w:br/>
              <w:t>(Baseline)</w:t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MedQA Acc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63.20%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63.20%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63.20%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MMLU Med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60.70%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60.70%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60.70%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/>
                <w:sz w:val="16"/>
              </w:rPr>
              <w:t>INT4</w:t>
              <w:br/>
              <w:t>AWQ</w:t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MedQA Acc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58.80%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62.00%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60.60%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MMLU Med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59.53%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58.83%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58.87%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sz w:val="16"/>
              </w:rPr>
              <w:t>INT8</w:t>
              <w:br/>
              <w:t>SmoothQuant</w:t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MedQA Acc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58.00%*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60.20%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61.60%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MMLU Med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58.42%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56.01%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57.93%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/>
                <w:sz w:val="16"/>
              </w:rPr>
              <w:t>FP8</w:t>
              <w:br/>
              <w:t>E4M3</w:t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MedQA Acc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63.20%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63.20%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63.20%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MMLU Med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60.70%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60.70%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60.70%</w:t>
            </w:r>
          </w:p>
        </w:tc>
      </w:tr>
    </w:tbl>
    <w:p/>
    <w:p>
      <w:r>
        <w:rPr>
          <w:b/>
          <w:sz w:val="18"/>
        </w:rPr>
        <w:t>Observations / Notes: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/>
    <w:p>
      <w:pPr>
        <w:pStyle w:val="Heading2"/>
      </w:pPr>
      <w:r>
        <w:rPr>
          <w:b/>
          <w:color w:val="2E75B6"/>
          <w:sz w:val="22"/>
        </w:rPr>
        <w:t>2.3 Domain: Code (CodeLlama-7B-Instruct or CodeLlama variant)</w:t>
      </w:r>
    </w:p>
    <w:p>
      <w:pPr>
        <w:spacing w:after="80" w:before="0"/>
      </w:pPr>
      <w:r>
        <w:rPr>
          <w:i w:val="0"/>
          <w:sz w:val="18"/>
        </w:rPr>
        <w:t>Metrics: HumanEval pass@1 (%) | MMLU STEM Accuracy (%)</w:t>
      </w:r>
    </w:p>
    <w:p>
      <w:pPr>
        <w:spacing w:after="60" w:before="40"/>
      </w:pPr>
      <w:r>
        <w:rPr>
          <w:sz w:val="20"/>
        </w:rPr>
        <w:t>Checkpoint used: meta-llama/CodeLlama-7b-Instruct-hf  (7B params, FP16)</w:t>
      </w:r>
    </w:p>
    <w:p>
      <w:pPr>
        <w:spacing w:after="60" w:before="40"/>
      </w:pPr>
      <w:r>
        <w:rPr>
          <w:sz w:val="20"/>
        </w:rPr>
        <w:t>HuggingFace path: meta-llama/CodeLlama-7b-Instruct-hf  →  ./outputs/code_fp16/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C1</w:t>
              <w:br/>
              <w:t>Generic</w:t>
              <w:br/>
              <w:t>(WikiText)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C2</w:t>
              <w:br/>
              <w:t>Self-Calib</w:t>
              <w:br/>
              <w:t>(Williams '25)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C3</w:t>
              <w:br/>
              <w:t>DACS</w:t>
              <w:br/>
              <w:t>(Proposed)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sz w:val="16"/>
              </w:rPr>
              <w:t>FP16</w:t>
              <w:br/>
              <w:t>(Baseline)</w:t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HumanEval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MMLU STEM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38.38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38.38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38.38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/>
                <w:sz w:val="16"/>
              </w:rPr>
              <w:t>INT4</w:t>
              <w:br/>
              <w:t>AWQ</w:t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HumanEval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MMLU STEM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36.48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37.47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37.51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sz w:val="16"/>
              </w:rPr>
              <w:t>INT8</w:t>
              <w:br/>
              <w:t>SmoothQuant</w:t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HumanEval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E8F0FB"/>
          </w:tcPr>
          <w:p>
            <w:pPr>
              <w:jc w:val="left"/>
            </w:pPr>
            <w:r>
              <w:rPr>
                <w:b w:val="0"/>
                <w:sz w:val="16"/>
              </w:rPr>
              <w:t>MMLU STEM (%)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36.54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34.74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35.06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/>
                <w:sz w:val="16"/>
              </w:rPr>
              <w:t>FP8</w:t>
              <w:br/>
              <w:t>E4M3</w:t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HumanEval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1296"/>
            <w:shd w:val="clear" w:color="auto" w:fill="F8FBFF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MMLU STEM (%)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38.38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38.38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38.38</w:t>
            </w:r>
          </w:p>
        </w:tc>
      </w:tr>
    </w:tbl>
    <w:p/>
    <w:p>
      <w:r>
        <w:rPr>
          <w:b/>
          <w:sz w:val="18"/>
        </w:rPr>
        <w:t>Observations / Notes: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 : </w:t>
      </w:r>
      <w:r>
        <w:rPr>
          <w:color w:val="CCCCCC"/>
          <w:sz w:val="18"/>
        </w:rPr>
        <w:t>_______________________________________________________</w:t>
      </w:r>
    </w:p>
    <w:p>
      <w:pPr>
        <w:pBdr>
          <w:bottom w:val="single" w:sz="4" w:space="1" w:color="2E75B6"/>
        </w:pBdr>
        <w:spacing w:after="120" w:before="120"/>
      </w:pPr>
    </w:p>
    <w:p>
      <w:r>
        <w:br w:type="page"/>
      </w:r>
    </w:p>
    <w:p>
      <w:pPr>
        <w:pStyle w:val="Heading1"/>
      </w:pPr>
      <w:r>
        <w:rPr>
          <w:b/>
          <w:color w:val="1F4E79"/>
          <w:sz w:val="28"/>
        </w:rPr>
        <w:t xml:space="preserve">Section 3 — Activation Range Analysis (Activity 4)</w:t>
      </w:r>
    </w:p>
    <w:p>
      <w:pPr>
        <w:spacing w:after="80" w:before="0"/>
      </w:pPr>
      <w:r>
        <w:rPr>
          <w:i/>
          <w:color w:val="333333"/>
          <w:sz w:val="18"/>
        </w:rPr>
        <w:t xml:space="preserve">Activity 4 measures per-channel input activation range ratios for each calibration condition vs. MMLU inference. range_ratio = max|X_calib| / max|X_MMLU| per channel. Ratio &lt; 1.0 means the calibration text underestimates the inference activation range, causing SmoothQuant to set smoothing scales too small. Completed April 18, 2026.</w:t>
      </w:r>
    </w:p>
    <w:p>
      <w:pPr>
        <w:spacing w:after="40" w:before="0"/>
      </w:pPr>
      <w:r>
        <w:rPr>
          <w:color w:val="333333"/>
          <w:sz w:val="16"/>
        </w:rPr>
        <w:t xml:space="preserve"> </w:t>
      </w:r>
    </w:p>
    <w:p>
      <w:pPr>
        <w:spacing w:after="60" w:before="0"/>
      </w:pPr>
      <w:r>
        <w:rPr>
          <w:b/>
          <w:color w:val="028090"/>
          <w:sz w:val="22"/>
        </w:rPr>
        <w:t xml:space="preserve">3.1  Mean Range Ratio by Domain and Calibration Condition</w:t>
      </w:r>
    </w:p>
    <w:tbl>
      <w:tblPr>
        <w:tblStyle w:val="TableGrid"/>
        <w:tblW w:type="auto" w:w="0"/>
      </w:tblPr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Domain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C1 Generic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C2 Self-gen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C3 Domain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C2 Gap (1−C2)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/>
            <w:r>
              <w:rPr>
                <w:b/>
                <w:color w:val="333333"/>
                <w:sz w:val="18"/>
              </w:rPr>
              <w:t xml:space="preserve">Cybersecurity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1.0529</w:t>
            </w:r>
          </w:p>
        </w:tc>
        <w:tc>
          <w:tcPr>
            <w:tcW w:type="dxa" w:w="1872"/>
            <w:shd w:val="clear" w:color="auto" w:fill="FCE4D6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 xml:space="preserve">0.7879</w:t>
            </w:r>
          </w:p>
        </w:tc>
        <w:tc>
          <w:tcPr>
            <w:tcW w:type="dxa" w:w="1872"/>
            <w:shd w:val="clear" w:color="auto" w:fill="E2EFDA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1.0084</w:t>
            </w:r>
          </w:p>
        </w:tc>
        <w:tc>
          <w:tcPr>
            <w:tcW w:type="dxa" w:w="1872"/>
            <w:shd w:val="clear" w:color="auto" w:fill="FCE4D6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 xml:space="preserve">0.2121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/>
            <w:r>
              <w:rPr>
                <w:b/>
                <w:color w:val="333333"/>
                <w:sz w:val="18"/>
              </w:rPr>
              <w:t xml:space="preserve">Medical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1.0548</w:t>
            </w:r>
          </w:p>
        </w:tc>
        <w:tc>
          <w:tcPr>
            <w:tcW w:type="dxa" w:w="1872"/>
            <w:shd w:val="clear" w:color="auto" w:fill="FCE4D6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0.9655</w:t>
            </w:r>
          </w:p>
        </w:tc>
        <w:tc>
          <w:tcPr>
            <w:tcW w:type="dxa" w:w="1872"/>
            <w:shd w:val="clear" w:color="auto" w:fill="E2EFDA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1.0107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0.0345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/>
            <w:r>
              <w:rPr>
                <w:b/>
                <w:color w:val="333333"/>
                <w:sz w:val="18"/>
              </w:rPr>
              <w:t xml:space="preserve">Code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1.0523</w:t>
            </w:r>
          </w:p>
        </w:tc>
        <w:tc>
          <w:tcPr>
            <w:tcW w:type="dxa" w:w="1872"/>
            <w:shd w:val="clear" w:color="auto" w:fill="FCE4D6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0.9714</w:t>
            </w:r>
          </w:p>
        </w:tc>
        <w:tc>
          <w:tcPr>
            <w:tcW w:type="dxa" w:w="1872"/>
            <w:shd w:val="clear" w:color="auto" w:fill="FCE4D6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0.9409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0.0286</w:t>
            </w:r>
          </w:p>
        </w:tc>
      </w:tr>
    </w:tbl>
    <w:p>
      <w:pPr>
        <w:spacing w:after="60" w:before="0"/>
      </w:pPr>
      <w:r>
        <w:rPr>
          <w:i/>
          <w:color w:val="555555"/>
          <w:sz w:val="17"/>
        </w:rPr>
        <w:t xml:space="preserve">C1 consistently overshoots MMLU range (1.052–1.055). C2 undershoots in all domains — most severely for cybersecurity (0.788, 100% of layers below MMLU). C3 ≈ MMLU for cyber (1.008) and med (1.011) but also undershoots for code (0.941): code text is too syntactically narrow to cover MMLU range.</w:t>
      </w:r>
    </w:p>
    <w:p>
      <w:pPr>
        <w:spacing w:after="40" w:before="0"/>
      </w:pPr>
      <w:r>
        <w:rPr>
          <w:color w:val="333333"/>
          <w:sz w:val="16"/>
        </w:rPr>
        <w:t xml:space="preserve"> </w:t>
      </w:r>
    </w:p>
    <w:p>
      <w:pPr>
        <w:spacing w:after="60" w:before="0"/>
      </w:pPr>
      <w:r>
        <w:rPr>
          <w:b/>
          <w:color w:val="028090"/>
          <w:sz w:val="22"/>
        </w:rPr>
        <w:t xml:space="preserve">3.2  Mechanism Correlation: C2 Activation Gap vs SQ C2 Regression</w:t>
      </w:r>
    </w:p>
    <w:tbl>
      <w:tblPr>
        <w:tblStyle w:val="TableGrid"/>
        <w:tblW w:type="auto" w:w="0"/>
      </w:tblPr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Domain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C2 Activation Gap (1−ratio)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SQ C2 MMLU Regression (pp)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/>
            <w:r>
              <w:rPr>
                <w:b/>
                <w:color w:val="333333"/>
                <w:sz w:val="18"/>
              </w:rPr>
              <w:t xml:space="preserve">Cybersecurity</w:t>
            </w:r>
          </w:p>
        </w:tc>
        <w:tc>
          <w:tcPr>
            <w:tcW w:type="dxa" w:w="3120"/>
            <w:shd w:val="clear" w:color="auto" w:fill="FCE4D6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 xml:space="preserve">0.2121  (100% layers under)</w:t>
            </w:r>
          </w:p>
        </w:tc>
        <w:tc>
          <w:tcPr>
            <w:tcW w:type="dxa" w:w="3120"/>
            <w:shd w:val="clear" w:color="auto" w:fill="FCE4D6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 xml:space="preserve">9.31 pp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/>
            <w:r>
              <w:rPr>
                <w:b/>
                <w:color w:val="333333"/>
                <w:sz w:val="18"/>
              </w:rPr>
              <w:t xml:space="preserve">Medical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0.0345  (61.6% layers under)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2.41 pp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/>
            <w:r>
              <w:rPr>
                <w:b/>
                <w:color w:val="333333"/>
                <w:sz w:val="18"/>
              </w:rPr>
              <w:t xml:space="preserve">Code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0.0286  (71.9% layers under)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color w:val="333333"/>
                <w:sz w:val="18"/>
              </w:rPr>
              <w:t xml:space="preserve">1.80 pp</w:t>
            </w:r>
          </w:p>
        </w:tc>
      </w:tr>
      <w:tr>
        <w:tc>
          <w:tcPr>
            <w:tcW w:type="dxa" w:w="3120"/>
            <w:shd w:val="clear" w:color="auto" w:fill="1F4E79"/>
          </w:tcPr>
          <w:p>
            <w:pPr/>
            <w:r>
              <w:rPr>
                <w:b/>
                <w:color w:val="FFFFFF"/>
                <w:sz w:val="18"/>
              </w:rPr>
              <w:t xml:space="preserve">Pearson r</w:t>
            </w:r>
          </w:p>
        </w:tc>
        <w:tc>
          <w:tcPr>
            <w:tcW w:type="dxa" w:w="3120"/>
            <w:shd w:val="clear" w:color="auto" w:fill="FFFFFF"/>
          </w:tcPr>
          <w:p>
            <w:pPr/>
            <w:r>
              <w:rPr>
                <w:color w:val="333333"/>
                <w:sz w:val="18"/>
              </w:rPr>
              <w:t xml:space="preserve"/>
            </w:r>
          </w:p>
        </w:tc>
        <w:tc>
          <w:tcPr>
            <w:tcW w:type="dxa" w:w="312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 xml:space="preserve">0.999  ✓  (near-perfect correlation)</w:t>
            </w:r>
          </w:p>
        </w:tc>
      </w:tr>
    </w:tbl>
    <w:p>
      <w:pPr>
        <w:spacing w:after="80" w:before="0"/>
      </w:pPr>
      <w:r>
        <w:rPr>
          <w:i/>
          <w:color w:val="555555"/>
          <w:sz w:val="17"/>
        </w:rPr>
        <w:t xml:space="preserve">Pearson r = 0.999 across 3 domains confirms activation-range underestimation is the proximate mechanism behind SQ C2 regression. The gap magnitude scales with domain narrowness: cybersecurity (narrow QLoRA) &gt;&gt; medical &gt;&gt; code.</w:t>
      </w:r>
    </w:p>
    <w:p>
      <w:pPr>
        <w:spacing w:after="40" w:before="0"/>
      </w:pPr>
      <w:r>
        <w:rPr>
          <w:color w:val="333333"/>
          <w:sz w:val="16"/>
        </w:rPr>
        <w:t xml:space="preserve"> </w:t>
      </w:r>
    </w:p>
    <w:p>
      <w:pPr>
        <w:pStyle w:val="Heading1"/>
      </w:pPr>
      <w:r>
        <w:rPr>
          <w:b/>
          <w:color w:val="1F4E79"/>
          <w:sz w:val="28"/>
        </w:rPr>
        <w:t>Section 4 — Ablation Study Results (Activity 6)</w:t>
      </w:r>
    </w:p>
    <w:p>
      <w:pPr>
        <w:pStyle w:val="Heading2"/>
      </w:pPr>
      <w:r>
        <w:rPr>
          <w:b/>
          <w:color w:val="2E75B6"/>
          <w:sz w:val="22"/>
        </w:rPr>
        <w:t>4.1 Ablation 1: Calibration Set Size</w:t>
      </w:r>
    </w:p>
    <w:p>
      <w:pPr>
        <w:spacing w:after="80" w:before="0"/>
      </w:pPr>
      <w:r>
        <w:rPr>
          <w:i/>
          <w:sz w:val="18"/>
        </w:rPr>
        <w:t>INT4 AWQ, Cybersecurity domain. C3 (DACS) with varying N samples. Compare against C1 (WikiText, always 512).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 Samples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WMDP-Cyber (%)</w:t>
            </w:r>
          </w:p>
        </w:tc>
        <w:tc>
          <w:tcPr>
            <w:tcW w:type="dxa" w:w="244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MMLU (%)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72"/>
            <w:shd w:val="clear" w:color="auto" w:fill="FFE699"/>
          </w:tcPr>
          <w:p>
            <w:pPr>
              <w:jc w:val="center"/>
            </w:pPr>
            <w:r>
              <w:rPr>
                <w:b/>
                <w:sz w:val="16"/>
              </w:rPr>
              <w:t>C1 Baseline</w:t>
              <w:br/>
              <w:t>(WikiText 512)</w:t>
            </w:r>
          </w:p>
        </w:tc>
        <w:tc>
          <w:tcPr>
            <w:tcW w:type="dxa" w:w="2880"/>
            <w:shd w:val="clear" w:color="auto" w:fill="FFE69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448"/>
            <w:shd w:val="clear" w:color="auto" w:fill="FFE69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600"/>
            <w:shd w:val="clear" w:color="auto" w:fill="FFE699"/>
          </w:tcPr>
          <w:p>
            <w:pPr>
              <w:jc w:val="center"/>
            </w:pPr>
            <w:r>
              <w:rPr>
                <w:b w:val="0"/>
                <w:sz w:val="16"/>
              </w:rPr>
              <w:t>Reference baseline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60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60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60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b/>
          <w:color w:val="2E75B6"/>
          <w:sz w:val="22"/>
        </w:rPr>
        <w:t>4.2 Ablation 2: LoRA Rank Sensitivity</w:t>
      </w:r>
    </w:p>
    <w:p>
      <w:pPr>
        <w:spacing w:after="80" w:before="0"/>
      </w:pPr>
      <w:r>
        <w:rPr>
          <w:i/>
          <w:sz w:val="18"/>
        </w:rPr>
        <w:t>INT4 AWQ, Cybersecurity domain. DACS benefit (C3 acc - C1 acc) vs. LoRA rank.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LoRA Rank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C1 Acc (%)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C3 Acc (%)</w:t>
            </w:r>
          </w:p>
        </w:tc>
        <w:tc>
          <w:tcPr>
            <w:tcW w:type="dxa" w:w="47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DACS Benefit (C3 - C1)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rank=8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4752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6"/>
              </w:rPr>
              <w:t>rank=16 (Activity 0)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4752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6"/>
              </w:rPr>
              <w:t>Main model — results from Section 2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rank=32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4752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rPr>
          <w:b/>
          <w:color w:val="2E75B6"/>
          <w:sz w:val="22"/>
        </w:rPr>
        <w:t>4.3 Ablation 3: In-Domain vs. Near-Domain Calibration</w:t>
      </w:r>
    </w:p>
    <w:p>
      <w:pPr>
        <w:spacing w:after="80" w:before="0"/>
      </w:pPr>
      <w:r>
        <w:rPr>
          <w:i/>
          <w:sz w:val="18"/>
        </w:rPr>
        <w:t>Does it matter that calibration comes from the EXACT SFT corpus vs. any security text?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7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Calibration Source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WMDP-Cyber (%)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MMLU (%)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6"/>
              </w:rPr>
              <w:t>C1 — Generic (WikiText)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5760"/>
            <w:shd w:val="clear" w:color="auto" w:fill="FFF2CC"/>
          </w:tcPr>
          <w:p>
            <w:pPr>
              <w:jc w:val="left"/>
            </w:pPr>
            <w:r>
              <w:rPr>
                <w:b w:val="0"/>
                <w:sz w:val="16"/>
              </w:rPr>
              <w:t>C3a — Exact SFT corpus (DACS, proposed)</w:t>
            </w:r>
          </w:p>
        </w:tc>
        <w:tc>
          <w:tcPr>
            <w:tcW w:type="dxa" w:w="2160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6"/>
              </w:rPr>
              <w:t>C3b — Near-domain (different cybersecurity dataset, not in SFT)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C3c — Generic security (Wikipedia security articles)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</w:tbl>
    <w:p>
      <w:pPr>
        <w:pBdr>
          <w:bottom w:val="single" w:sz="4" w:space="1" w:color="2E75B6"/>
        </w:pBdr>
        <w:spacing w:after="120" w:before="120"/>
      </w:pPr>
    </w:p>
    <w:p>
      <w:r>
        <w:br w:type="page"/>
      </w:r>
    </w:p>
    <w:p>
      <w:pPr>
        <w:pStyle w:val="Heading1"/>
      </w:pPr>
      <w:r>
        <w:rPr>
          <w:b/>
          <w:color w:val="1F4E79"/>
          <w:sz w:val="28"/>
        </w:rPr>
        <w:t>Section 5 — Derived Metrics and Key Paper Claims</w:t>
      </w:r>
    </w:p>
    <w:p>
      <w:pPr>
        <w:spacing w:after="80" w:before="0"/>
      </w:pPr>
      <w:r>
        <w:rPr>
          <w:i/>
          <w:sz w:val="18"/>
        </w:rPr>
        <w:t>Fill this section AFTER all experiments are complete. These numbers go directly into the paper abstract, introduction, and results section.</w:t>
      </w:r>
    </w:p>
    <w:p>
      <w:pPr>
        <w:pStyle w:val="Heading2"/>
      </w:pPr>
      <w:r>
        <w:rPr>
          <w:b/>
          <w:color w:val="2E75B6"/>
          <w:sz w:val="22"/>
        </w:rPr>
        <w:t>5.1 DACS Accuracy Recovery Rate (Key Claim for Abstract)</w:t>
      </w:r>
    </w:p>
    <w:p>
      <w:pPr>
        <w:spacing w:after="80" w:before="0"/>
      </w:pPr>
      <w:r>
        <w:rPr>
          <w:i w:val="0"/>
          <w:sz w:val="18"/>
        </w:rPr>
        <w:t>Formula: Recovery = (C3_acc - C1_acc) / (FP16_acc - C1_acc) × 100%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FP16 Acc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C1 Acc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C3 Recovery (%)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6"/>
              </w:rPr>
              <w:t>Cyber — INT4 AWQ (CyberSecEval)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Cyber — INT8 SQ (CyberSecEval)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6"/>
              </w:rPr>
              <w:t>Medical — INT4 AWQ (MedQA)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Code — INT4 AWQ (HumanEval)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5040"/>
            <w:shd w:val="clear" w:color="auto" w:fill="E2EFDA"/>
          </w:tcPr>
          <w:p>
            <w:pPr>
              <w:jc w:val="left"/>
            </w:pPr>
            <w:r>
              <w:rPr>
                <w:b/>
                <w:sz w:val="16"/>
              </w:rPr>
              <w:t>Average across conditions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rPr>
          <w:b/>
          <w:color w:val="2E75B6"/>
          <w:sz w:val="22"/>
        </w:rPr>
        <w:t>5.2 DACS vs. Self-Calibration (C3 vs. C2)</w:t>
      </w:r>
    </w:p>
    <w:p>
      <w:pPr>
        <w:spacing w:after="80" w:before="0"/>
      </w:pPr>
      <w:r>
        <w:rPr>
          <w:i w:val="0"/>
          <w:sz w:val="18"/>
        </w:rPr>
        <w:t>How much does DACS outperform Williams 2025 self-calibration on domain tasks?</w:t>
      </w:r>
    </w:p>
    <w:p>
      <w:pPr>
        <w:spacing w:after="60"/>
        <w:ind w:left="432"/>
      </w:pPr>
      <w:r>
        <w:rPr>
          <w:sz w:val="18"/>
        </w:rPr>
        <w:t>Cyber INT4 AWQ — CyberSecEval: C3 − C2 = _____ pp</w:t>
      </w:r>
    </w:p>
    <w:p>
      <w:pPr>
        <w:spacing w:after="60"/>
        <w:ind w:left="432"/>
      </w:pPr>
      <w:r>
        <w:rPr>
          <w:sz w:val="18"/>
        </w:rPr>
        <w:t>Medical INT4 AWQ — MedQA: C3 − C2 = _____ pp</w:t>
      </w:r>
    </w:p>
    <w:p>
      <w:pPr>
        <w:spacing w:after="60"/>
        <w:ind w:left="432"/>
      </w:pPr>
      <w:r>
        <w:rPr>
          <w:sz w:val="18"/>
        </w:rPr>
        <w:t>Code INT4 AWQ — HumanEval: C3 − C2 = _____ pp</w:t>
      </w:r>
    </w:p>
    <w:p>
      <w:pPr>
        <w:spacing w:after="60"/>
        <w:ind w:left="432"/>
      </w:pPr>
      <w:r>
        <w:rPr>
          <w:sz w:val="18"/>
        </w:rPr>
        <w:t>MMLU control (should be ≈ 0): C3 − C2 = _____ pp</w:t>
      </w:r>
    </w:p>
    <w:p/>
    <w:p>
      <w:pPr>
        <w:pStyle w:val="Heading2"/>
      </w:pPr>
      <w:r>
        <w:rPr>
          <w:b/>
          <w:color w:val="2E75B6"/>
          <w:sz w:val="22"/>
        </w:rPr>
        <w:t>5.3 Headline Number for Abstract</w:t>
      </w:r>
    </w:p>
    <w:p>
      <w:pPr>
        <w:spacing w:after="120"/>
      </w:pPr>
      <w:r>
        <w:rPr>
          <w:b/>
          <w:sz w:val="20"/>
        </w:rPr>
        <w:t xml:space="preserve">Final abstract claim: </w:t>
      </w:r>
      <w:r>
        <w:rPr>
          <w:i/>
          <w:sz w:val="20"/>
        </w:rPr>
        <w:t>"DACS recovers ____% of the accuracy loss from INT4 quantization on domain-specific tasks, outperforming generic calibration by ____ percentage points and self-calibration by ____ percentage points, at zero additional computational cost."</w:t>
      </w:r>
    </w:p>
    <w:p/>
    <w:p>
      <w:pPr>
        <w:pStyle w:val="Heading2"/>
      </w:pPr>
      <w:r>
        <w:rPr>
          <w:b/>
          <w:color w:val="2E75B6"/>
          <w:sz w:val="22"/>
        </w:rPr>
        <w:t>5.4 General Notes and Observations</w:t>
      </w:r>
    </w:p>
    <w:p>
      <w:pPr>
        <w:spacing w:after="60" w:before="40"/>
      </w:pPr>
      <w:r>
        <w:rPr>
          <w:b/>
          <w:sz w:val="18"/>
        </w:rPr>
        <w:t xml:space="preserve">Note 1: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2: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3: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4: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5: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6: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7: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8: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9: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10: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11: </w:t>
      </w:r>
      <w:r>
        <w:rPr>
          <w:color w:val="CCCCCC"/>
          <w:sz w:val="18"/>
        </w:rPr>
        <w:t>_______________________________________________________</w:t>
      </w:r>
    </w:p>
    <w:p>
      <w:pPr>
        <w:spacing w:after="60" w:before="40"/>
      </w:pPr>
      <w:r>
        <w:rPr>
          <w:b/>
          <w:sz w:val="18"/>
        </w:rPr>
        <w:t xml:space="preserve">Note 12: </w:t>
      </w:r>
      <w:r>
        <w:rPr>
          <w:color w:val="CCCCCC"/>
          <w:sz w:val="18"/>
        </w:rPr>
        <w:t>_______________________________________________________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