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E2761"/>
          <w:sz w:val="56"/>
          <w:szCs w:val="56"/>
        </w:rPr>
        <w:t xml:space="preserve">DACS</w:t>
      </w:r>
    </w:p>
    <w:p>
      <w:pPr>
        <w:spacing w:after="60" w:before="0"/>
      </w:pPr>
      <w:r>
        <w:rPr>
          <w:rFonts w:ascii="Arial" w:cs="Arial" w:eastAsia="Arial" w:hAnsi="Arial"/>
          <w:color w:val="028090"/>
          <w:sz w:val="26"/>
          <w:szCs w:val="26"/>
        </w:rPr>
        <w:t xml:space="preserve">Domain-Aware Calibration Selection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Activity 04  —  Activation Distribution Analysis  —  Code Guide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Step-by-step runbook: per-channel input activation range analysis across all three domains</w:t>
      </w:r>
    </w:p>
    <w:p>
      <w:pPr>
        <w:pBdr>
          <w:bottom w:val="single" w:color="1E2761" w:sz="6" w:space="6"/>
        </w:pBdr>
        <w:spacing w:after="240" w:before="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Deepank Dixit  ·  Optum AI Research  ·  Target: EMNLP 2026  ·  April 2026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FRAMING REMINDER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Activity 4 is a diagnostic, not a new method. We measure whether self-generated C2 calibration text produces narrower per-channel input activations than MMLU inference text. If it does, this mechanistically explains why SmoothQuant C2 underestimates smoothing scales — confirming the mechanism behind the 9.31pp/2.41pp/1.80pp regressions found in Activities 2–3.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0. Overview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Activity 4 runs two types of forward passes on each FP16 model (no quantization):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Calibration forward passes: 128 samples each from C1, C2, C3 corpora — record per-channel max |activation| at every linear layer input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Inference forward passes: 128 MMLU questions (5-shot) — same recording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Then compute range_ratio = calib_max / MMLU_max for each channel and layer. C2 should have the lowest ratio. Fig. 5 shows this per domain. Fig. 6 shows the ratio gap vs SQ regression magnitude across domains.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 / How to get 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m42-health/Llama3-Med42-8B — gated HF model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meta-llama/CodeLlama-7b-Instruct-hf — public HF model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cyber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Rebuild from LoRA adapter (local Mac) — do LAST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Expected GPU time: ~25 min per domain. Total with all 3 domains: ~75 min, ~$1 on Lambda A10G.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1 — Procure Lambda + Clone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Start a new Lambda A10G instance. SSH in. Run the following.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1.1  Clone repo and activate venv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clone https://$GIT_PAT@github.com/DeepankDixit/dacs-emnlp.git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cd dacs-emnlp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python3 -m venv venv &amp;&amp; source venv/bin/activate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bash code/activity2/setup_lambda.sh          # base stack (torch, transformers, etc.)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bash code/activity3/setup_lambda.sh          # adds datasets, huggingface_hub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1.2  Install Activity 4 extra dependency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pip install scipy --break-system-packages    # for Pearson r in fig6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All other deps (torch, transformers, datasets) already in base stack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2 — Download FP16 Models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Download the FP16 models needed for forward passes. Do NOT use quantized models.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2.1  Medical model (gated — need HF access)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hf login   # enter your HF token when prompted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hf download m42-health/Llama3-Med42-8B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--local-dir ./outputs/med_fp16/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--repo-type model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outputs/med_fp16/   # should show config.json, model-*.safetensors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2.2  Code model (public)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hf download meta-llama/CodeLlama-7b-Instruct-hf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--local-dir ./outputs/code_fp16/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--repo-type model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2.3  Cybersecurity model (optional — do last)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merged cybersecurity FP16 model (Llama 3.1 8B + LoRA adapter) is not on HuggingFace. Two options: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Upload from Mac: scp -r /path/to/outputs/cyber_fp16/ ubuntu@LAMBDA_IP:~/dacs-emnlp/outputs/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Or rebuild on Lambda: python code/activity2/merge_adapter.py (requires adapter + base model)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Skip cyber for now if it’s inconvenient — med + code are sufficient for the paper.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3 — Verify Calibration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All calibration corpora were committed in Activities 2+3. Just verify they’re present after git pull.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outputs/*.jsonl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c1_generic_calib_512.jsonl    (WikiText-2, C1 for all domains)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med_c2_selfgen_512.jsonl      (C2 for medical)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med_c3_calib_512.jsonl        (C3 for medical)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code_c2_selfgen_512.jsonl     (C2 for code)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code_c3_calib_512.jsonl       (C3 for code)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dacs_calib_512.jsonl          (C3 for cybersecurity, from Activity 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cyber_c2_selfgen_512.jsonl    (C2 for cybersecurity, from Activity 2)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NOTE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If any file is missing, check git log for the Activity 2/3 commits and run git checkout &lt;commit&gt; -- outputs/&lt;file&gt;. The C1 file (c1_generic_calib_512.jsonl) was force-added to the repo in Activity 3 — it should be present.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4 — Run Activation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This is the main compute step. Run one domain at a time. Results are saved incrementally.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4.1  Medical domain (~25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cd ~/dacs-emnlp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source venv/bin/activate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code/activity4/activation_analysis.py --domain med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Saves to: results/activity4_activation_results.json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 output excerpt: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[C2] mean_range_ratio = 0.81  pct_layers_under_1 = 94%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[C3] mean_range_ratio = 0.94  pct_layers_under_1 = 62%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Hypothesis (C2 &lt; C1 ≤ C3): CONFIRMED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4.2  Code domain (~25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code/activity4/activation_analysis.py --domain code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Appends code domain results to the same JSON file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4.3  Cybersecurity domain (~25 min, if model available)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code/activity4/activation_analysis.py --domain cyber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Appends cyber domain results to the same JSON file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CRITICAL: save results before terminating Lambda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script saves results/activity4_activation_results.json after each domain. Before shutting down Lambda, commit and push this file:
  git add -f results/activity4_activation_results.json
  git commit -m "Activity 4: activation range analysis results"
  git push origin main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5 — Generate Figures (local or Lambda)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Figure generation is lightweight — can run on your Mac after pulling the results JSON.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On Mac (after git pull):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pip install scipy matplotlib --break-system-packages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code/activity4/make_act4_figures.py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Produces: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paper/fig5_activation_ranges.pdf   (bar chart, range ratios)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paper/fig6_kl_vs_regression.pdf    (scatter, gap vs regression)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5.1  What to look for in the figures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Interpretation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5: C2 bar is lowest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Confirms C2 underestimates activation range (&lt; 1.0)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5: C3 bar is closest to 1.0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Confirms domain calibration is best-matched to inference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5: gap widens cyber → med → code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Confirms narrowness mechanism scales with domain specificity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6: Pearson r &gt; 0.90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Mechanistic claim: range gap predicts regression magnitude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6 — Add Mechanism Section to Paper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After figures are generated, add a short mechanism section to main.tex. ~1 page.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Add a new subsection \subsection{Mechanistic Analysis} after the cross-domain results. Structure: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paragraph explaining the SQ smoothing vector formula and why calibration data matters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paragraph: “Fig. 5 shows that C2 self-generated text produces per-channel input activations with consistently lower range than MMLU inference, by [X]pp across SQ-targeted layers.”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paragraph: “Fig. 6 shows the correlation across domains (Pearson r = [r]): the magnitude of C2 range underestimation predicts the SQ C2 MMLU regression.”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sentence on FP8 immunity: its 4-bit exponent absorbs calibration mismatch without accuracy loss.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TARGET LENGTH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mechanism section should be ~half a column (200–300 words + 2 figures). It should read as evidence supporting the sensitivity findings, not as a separate contribution. Do not claim the range ratio is a novel metric.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7 — Commit Everything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cd ~/dacs-emnlp   # or local Mac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add -f results/activity4_activation_results.json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add paper/fig5_activation_ranges.pdf paper/fig6_kl_vs_regression.pdf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add paper/main.tex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commit -m "Activity 4: activation analysis + mechanism section in paper"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Activity 4 —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results/activity4_activation_results.json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Per-domain, per-layer range ratios for C1/C2/C3/MMLU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paper/fig5_activation_ranges.pdf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Bar chart: range ratio by condition, 3 panels (one per domain)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paper/fig6_kl_vs_regression.pdf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Scatter: C2 underestimation gap vs SQ C2 regression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paper/main.tex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New \subsection{Mechanistic Analysis} added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Resource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GPU hours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~75 min for all 3 domains (~25 min each)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~$0.94 on Lambda A10G at $0.75/hr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Lambda shutdown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Safe after Step 4 results are committed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Generate locally on Mac after git pull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before="240"/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Last updated: April 18, 2026  ·  DACS / Deepank Dixit / Optum AI Research</w:t>
      </w:r>
    </w:p>
    <w:sectPr>
      <w:head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40"/>
      </w:tabs>
    </w:pPr>
    <w:r>
      <w:rPr>
        <w:rFonts w:ascii="Arial" w:cs="Arial" w:eastAsia="Arial" w:hAnsi="Arial"/>
        <w:color w:val="888888"/>
        <w:sz w:val="16"/>
        <w:szCs w:val="16"/>
      </w:rPr>
      <w:t xml:space="preserve">DACS Research Project  ·  Code Guide  ·  CONFIDENTIAL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888888"/>
        <w:sz w:val="16"/>
        <w:szCs w:val="16"/>
      </w:rPr>
      <w:t xml:space="preserve">Activity 04  —  Activation Distribution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02809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2026-04-18T10:42:40.252Z</dcterms:created>
  <dcterms:modified xsi:type="dcterms:W3CDTF">2026-04-18T10:42:40.252Z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