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1E2761"/>
          <w:sz w:val="56"/>
          <w:szCs w:val="56"/>
        </w:rPr>
        <w:t xml:space="preserve">DACS</w:t>
      </w:r>
    </w:p>
    <w:p>
      <w:pPr>
        <w:spacing w:after="60" w:before="0"/>
      </w:pPr>
      <w:r>
        <w:rPr>
          <w:rFonts w:ascii="Arial" w:cs="Arial" w:eastAsia="Arial" w:hAnsi="Arial"/>
          <w:color w:val="028090"/>
          <w:sz w:val="26"/>
          <w:szCs w:val="26"/>
        </w:rPr>
        <w:t xml:space="preserve">Domain-Aware Calibration Selection</w:t>
      </w:r>
    </w:p>
    <w:p>
      <w:pPr>
        <w:spacing w:after="60" w:before="0"/>
      </w:pPr>
      <w:r>
        <w:rPr>
          <w:rFonts w:ascii="Arial" w:cs="Arial" w:eastAsia="Arial" w:hAnsi="Arial"/>
          <w:b/>
          <w:bCs/>
          <w:color w:val="333333"/>
          <w:sz w:val="28"/>
          <w:szCs w:val="28"/>
        </w:rPr>
        <w:t xml:space="preserve">Concept Note 04  —  Activation Distribution Analysis (Activity 4)</w:t>
      </w:r>
    </w:p>
    <w:p>
      <w:pPr>
        <w:spacing w:after="60" w:before="0"/>
      </w:pPr>
      <w:r>
        <w:rPr>
          <w:rFonts w:ascii="Arial" w:cs="Arial" w:eastAsia="Arial" w:hAnsi="Arial"/>
          <w:color w:val="555555"/>
          <w:sz w:val="22"/>
          <w:szCs w:val="22"/>
        </w:rPr>
        <w:t xml:space="preserve">Mechanistic evidence for why SmoothQuant C2 self-calibration fails on fine-tuned LLMs</w:t>
      </w:r>
    </w:p>
    <w:p>
      <w:pPr>
        <w:pBdr>
          <w:bottom w:val="single" w:color="1E2761" w:sz="6" w:space="6"/>
        </w:pBdr>
        <w:spacing w:after="240" w:before="0"/>
      </w:pPr>
      <w:r>
        <w:rPr>
          <w:rFonts w:ascii="Arial" w:cs="Arial" w:eastAsia="Arial" w:hAnsi="Arial"/>
          <w:color w:val="777777"/>
          <w:sz w:val="18"/>
          <w:szCs w:val="18"/>
        </w:rPr>
        <w:t xml:space="preserve">Deepank Dixit  ·  Optum AI Research  ·  Target: EMNLP 2026  ·  April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40" w:before="0"/>
            </w:pPr>
            <w:r>
              <w:rPr>
                <w:rFonts w:ascii="Arial" w:cs="Arial" w:eastAsia="Arial" w:hAnsi="Arial"/>
                <w:b/>
                <w:bCs/>
                <w:color w:val="1E2761"/>
                <w:sz w:val="18"/>
                <w:szCs w:val="18"/>
              </w:rPr>
              <w:t xml:space="preserve">STATUS: READY TO RUN  —  April 18, 2026</w:t>
            </w:r>
          </w:p>
          <w:p>
            <w:pPr>
              <w:spacing w:after="0" w:before="0"/>
            </w:pPr>
            <w:r>
              <w:rPr>
                <w:rFonts w:ascii="Arial" w:cs="Arial" w:eastAsia="Arial" w:hAnsi="Arial"/>
                <w:color w:val="333333"/>
                <w:sz w:val="19"/>
                <w:szCs w:val="19"/>
              </w:rPr>
              <w:t xml:space="preserve">Activities 0–3 are complete. The empirical sensitivity hierarchy is confirmed across 3 domains. Activity 4 is the mechanistic follow-up: it explains WHY the hierarchy exists, specifically why SQ C2 fails. No new evaluation is run — just forward passes + activation statistics. GPU needed: ~25 min per domain on Lambda A10G.</w:t>
            </w:r>
          </w:p>
        </w:tc>
      </w:tr>
    </w:tbl>
    <w:p>
      <w:pPr>
        <w:spacing w:after="60" w:before="60"/>
      </w:pPr>
      <w:r>
        <w:t xml:space="preserve"/>
      </w:r>
    </w:p>
    <w:p>
      <w:pPr>
        <w:pStyle w:val="Heading1"/>
        <w:pBdr>
          <w:bottom w:val="single" w:color="1E2761" w:sz="4" w:space="4"/>
        </w:pBdr>
        <w:spacing w:after="120" w:before="320"/>
      </w:pPr>
      <w:r>
        <w:rPr>
          <w:rFonts w:ascii="Arial" w:cs="Arial" w:eastAsia="Arial" w:hAnsi="Arial"/>
          <w:b/>
          <w:bCs/>
          <w:color w:val="1E2761"/>
          <w:sz w:val="28"/>
          <w:szCs w:val="28"/>
        </w:rPr>
        <w:t xml:space="preserve">1. What Activity 4 Is — And Why It Matters</w:t>
      </w:r>
    </w:p>
    <w:p>
      <w:pPr>
        <w:pStyle w:val="Heading2"/>
        <w:spacing w:after="80" w:before="240"/>
      </w:pPr>
      <w:r>
        <w:rPr>
          <w:rFonts w:ascii="Arial" w:cs="Arial" w:eastAsia="Arial" w:hAnsi="Arial"/>
          <w:b/>
          <w:bCs/>
          <w:color w:val="028090"/>
          <w:sz w:val="24"/>
          <w:szCs w:val="24"/>
        </w:rPr>
        <w:t xml:space="preserve">1.1  The Gap in the Current Paper</w:t>
      </w:r>
    </w:p>
    <w:p>
      <w:pPr>
        <w:spacing w:after="80" w:before="60"/>
        <w:jc w:val="left"/>
      </w:pPr>
      <w:r>
        <w:rPr>
          <w:rFonts w:ascii="Arial" w:cs="Arial" w:eastAsia="Arial" w:hAnsi="Arial"/>
          <w:b w:val="false"/>
          <w:bCs w:val="false"/>
          <w:i w:val="false"/>
          <w:iCs w:val="false"/>
          <w:color w:val="333333"/>
          <w:sz w:val="20"/>
          <w:szCs w:val="20"/>
        </w:rPr>
        <w:t xml:space="preserve">Activities 2 and 3 established a clear empirical pattern:</w:t>
      </w:r>
    </w:p>
    <w:p>
      <w:pPr>
        <w:pStyle w:val="ListParagraph"/>
        <w:numPr>
          <w:ilvl w:val="0"/>
          <w:numId w:val="2"/>
        </w:numPr>
        <w:spacing w:after="40" w:before="40"/>
      </w:pPr>
      <w:r>
        <w:rPr>
          <w:rFonts w:ascii="Arial" w:cs="Arial" w:eastAsia="Arial" w:hAnsi="Arial"/>
          <w:sz w:val="20"/>
          <w:szCs w:val="20"/>
        </w:rPr>
        <w:t xml:space="preserve">FP8 is calibration-insensitive: 0.00pp MMLU spread across all 3 domains.</w:t>
      </w:r>
    </w:p>
    <w:p>
      <w:pPr>
        <w:pStyle w:val="ListParagraph"/>
        <w:numPr>
          <w:ilvl w:val="0"/>
          <w:numId w:val="2"/>
        </w:numPr>
        <w:spacing w:after="40" w:before="40"/>
      </w:pPr>
      <w:r>
        <w:rPr>
          <w:rFonts w:ascii="Arial" w:cs="Arial" w:eastAsia="Arial" w:hAnsi="Arial"/>
          <w:sz w:val="20"/>
          <w:szCs w:val="20"/>
        </w:rPr>
        <w:t xml:space="preserve">AWQ INT4 is mildly sensitive: ≤1.03pp, within the statistical noise floor.</w:t>
      </w:r>
    </w:p>
    <w:p>
      <w:pPr>
        <w:pStyle w:val="ListParagraph"/>
        <w:numPr>
          <w:ilvl w:val="0"/>
          <w:numId w:val="2"/>
        </w:numPr>
        <w:spacing w:after="40" w:before="40"/>
      </w:pPr>
      <w:r>
        <w:rPr>
          <w:rFonts w:ascii="Arial" w:cs="Arial" w:eastAsia="Arial" w:hAnsi="Arial"/>
          <w:sz w:val="20"/>
          <w:szCs w:val="20"/>
        </w:rPr>
        <w:t xml:space="preserve">SmoothQuant INT8 is catastrophically sensitive: 9.31pp on cybersecurity, 2.41pp on medical, 1.80pp on code — all driven by C2 self-calibration.</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The paper currently explains this qualitatively: “activation-range underestimation during autoregressive decoding of domain-narrow text.” A reviewer will push back: show me the data. Activity 4 provides that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0"/>
            </w:pPr>
            <w:r>
              <w:rPr>
                <w:rFonts w:ascii="Arial" w:cs="Arial" w:eastAsia="Arial" w:hAnsi="Arial"/>
                <w:b/>
                <w:bCs/>
                <w:color w:val="1E2761"/>
                <w:sz w:val="18"/>
                <w:szCs w:val="18"/>
              </w:rPr>
              <w:t xml:space="preserve">Core Question Activity 4 Answers</w:t>
            </w:r>
          </w:p>
          <w:p>
            <w:pPr>
              <w:spacing w:after="0" w:before="0"/>
            </w:pPr>
            <w:r>
              <w:rPr>
                <w:rFonts w:ascii="Arial" w:cs="Arial" w:eastAsia="Arial" w:hAnsi="Arial"/>
                <w:color w:val="333333"/>
                <w:sz w:val="19"/>
                <w:szCs w:val="19"/>
              </w:rPr>
              <w:t xml:space="preserve">When SmoothQuant calibrates on C2 (self-generated text), does the model produce input activations with a narrower per-channel range than it does during MMLU inference? If yes — by how much? Does the size of this gap correlate with the observed MMLU regression across domains?</w:t>
            </w:r>
          </w:p>
        </w:tc>
      </w:tr>
    </w:tbl>
    <w:p>
      <w:pPr>
        <w:spacing w:after="60" w:before="60"/>
      </w:pPr>
      <w:r>
        <w:t xml:space="preserve"/>
      </w:r>
    </w:p>
    <w:p>
      <w:pPr>
        <w:pStyle w:val="Heading2"/>
        <w:spacing w:after="80" w:before="240"/>
      </w:pPr>
      <w:r>
        <w:rPr>
          <w:rFonts w:ascii="Arial" w:cs="Arial" w:eastAsia="Arial" w:hAnsi="Arial"/>
          <w:b/>
          <w:bCs/>
          <w:color w:val="028090"/>
          <w:sz w:val="24"/>
          <w:szCs w:val="24"/>
        </w:rPr>
        <w:t xml:space="preserve">1.2  Why SmoothQuant Is Uniquely Vulnerable</w:t>
      </w:r>
    </w:p>
    <w:p>
      <w:pPr>
        <w:spacing w:after="80" w:before="60"/>
        <w:jc w:val="left"/>
      </w:pPr>
      <w:r>
        <w:rPr>
          <w:rFonts w:ascii="Arial" w:cs="Arial" w:eastAsia="Arial" w:hAnsi="Arial"/>
          <w:b w:val="false"/>
          <w:bCs w:val="false"/>
          <w:i w:val="false"/>
          <w:iCs w:val="false"/>
          <w:color w:val="333333"/>
          <w:sz w:val="20"/>
          <w:szCs w:val="20"/>
        </w:rPr>
        <w:t xml:space="preserve">AWQ only quantizes weights — calibration data only sets per-group weight scales. Small mismatch between calibration and inference activations has limited impact because activations stay in FP16 at inference time.</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SmoothQuant quantizes BOTH weights AND activations to INT8. It does this via a per-channel equivalence transform:</w:t>
      </w:r>
    </w:p>
    <w:p>
      <w:pPr>
        <w:spacing w:after="60" w:before="60"/>
      </w:pPr>
      <w:r>
        <w:t xml:space="preserve"/>
      </w:r>
    </w:p>
    <w:p>
      <w:pPr>
        <w:spacing w:after="0" w:before="0"/>
        <w:ind w:left="360"/>
      </w:pPr>
      <w:r>
        <w:rPr>
          <w:rFonts w:ascii="Courier New" w:cs="Courier New" w:eastAsia="Courier New" w:hAnsi="Courier New"/>
          <w:color w:val="333333"/>
          <w:sz w:val="18"/>
          <w:szCs w:val="18"/>
        </w:rPr>
        <w:t xml:space="preserve">Y = (X · diag(s)⁻¹) · (diag(s) · Wᵀ)</w:t>
      </w:r>
    </w:p>
    <w:p>
      <w:pPr>
        <w:spacing w:after="0" w:before="0"/>
        <w:ind w:left="360"/>
      </w:pPr>
      <w:r>
        <w:rPr>
          <w:rFonts w:ascii="Courier New" w:cs="Courier New" w:eastAsia="Courier New" w:hAnsi="Courier New"/>
          <w:color w:val="333333"/>
          <w:sz w:val="18"/>
          <w:szCs w:val="18"/>
        </w:rPr>
        <w:t xml:space="preserve">s_j = max(|X_calib|)_j^α / max(|W|)_j^(1-α)</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The smoothing vector s_j is computed directly from max(|X_calib|)_j — the maximum absolute activation at channel j across all calibration tokens. If this is underestimated:</w:t>
      </w:r>
    </w:p>
    <w:p>
      <w:pPr>
        <w:pStyle w:val="ListParagraph"/>
        <w:numPr>
          <w:ilvl w:val="0"/>
          <w:numId w:val="2"/>
        </w:numPr>
        <w:spacing w:after="40" w:before="40"/>
      </w:pPr>
      <w:r>
        <w:rPr>
          <w:rFonts w:ascii="Arial" w:cs="Arial" w:eastAsia="Arial" w:hAnsi="Arial"/>
          <w:sz w:val="20"/>
          <w:szCs w:val="20"/>
        </w:rPr>
        <w:t xml:space="preserve">s_j is too small → too little smoothing → activations still have large outliers</w:t>
      </w:r>
    </w:p>
    <w:p>
      <w:pPr>
        <w:pStyle w:val="ListParagraph"/>
        <w:numPr>
          <w:ilvl w:val="0"/>
          <w:numId w:val="2"/>
        </w:numPr>
        <w:spacing w:after="40" w:before="40"/>
      </w:pPr>
      <w:r>
        <w:rPr>
          <w:rFonts w:ascii="Arial" w:cs="Arial" w:eastAsia="Arial" w:hAnsi="Arial"/>
          <w:sz w:val="20"/>
          <w:szCs w:val="20"/>
        </w:rPr>
        <w:t xml:space="preserve">The INT8 per-tensor scale must cover those outliers → most values are squashed into a few bins → quantization error</w:t>
      </w:r>
    </w:p>
    <w:p>
      <w:pPr>
        <w:pStyle w:val="ListParagraph"/>
        <w:numPr>
          <w:ilvl w:val="0"/>
          <w:numId w:val="2"/>
        </w:numPr>
        <w:spacing w:after="40" w:before="40"/>
      </w:pPr>
      <w:r>
        <w:rPr>
          <w:rFonts w:ascii="Arial" w:cs="Arial" w:eastAsia="Arial" w:hAnsi="Arial"/>
          <w:sz w:val="20"/>
          <w:szCs w:val="20"/>
        </w:rPr>
        <w:t xml:space="preserve">Inference accuracy drops proportionally to the degree of underestimation</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FP8 uses a 4-bit exponent with very wide dynamic range — it can absorb calibration mismatch without accuracy loss. This is why FP8 stays flat regardless of calibration condition.</w:t>
      </w:r>
    </w:p>
    <w:p>
      <w:pPr>
        <w:spacing w:after="60" w:before="60"/>
      </w:pPr>
      <w:r>
        <w:t xml:space="preserve"/>
      </w:r>
    </w:p>
    <w:p>
      <w:pPr>
        <w:pStyle w:val="Heading2"/>
        <w:spacing w:after="80" w:before="240"/>
      </w:pPr>
      <w:r>
        <w:rPr>
          <w:rFonts w:ascii="Arial" w:cs="Arial" w:eastAsia="Arial" w:hAnsi="Arial"/>
          <w:b/>
          <w:bCs/>
          <w:color w:val="028090"/>
          <w:sz w:val="24"/>
          <w:szCs w:val="24"/>
        </w:rPr>
        <w:t xml:space="preserve">1.3  Why C2 Produces Narrow Activations</w:t>
      </w:r>
    </w:p>
    <w:p>
      <w:pPr>
        <w:spacing w:after="80" w:before="60"/>
        <w:jc w:val="left"/>
      </w:pPr>
      <w:r>
        <w:rPr>
          <w:rFonts w:ascii="Arial" w:cs="Arial" w:eastAsia="Arial" w:hAnsi="Arial"/>
          <w:b w:val="false"/>
          <w:bCs w:val="false"/>
          <w:i w:val="false"/>
          <w:iCs w:val="false"/>
          <w:color w:val="333333"/>
          <w:sz w:val="20"/>
          <w:szCs w:val="20"/>
        </w:rPr>
        <w:t xml:space="preserve">Self-generated text (C2) is produced by the fine-tuned model itself, sampled autoregressively from domain-specific seed prompts. For a cybersecurity-fine-tuned model, C2 text is narrow, domain-specific, and highly predictable — similar tokens repeating in similar patterns.</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MMLU test questions, by contrast, span 57 academic subjects. Even with 5-shot prompting, the model must process vocabulary, sentence structures, and reasoning patterns that differ substantially from cybersecurity text. This “broader” input space produces larger, more varied per-channel activation magnitudes.</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The intuition: C2 calibration data is like training a dynamic range meter on only one narrow type of signal, then using it to measure a much more varied signal. The meter will be mis-scaled.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0"/>
            </w:pPr>
            <w:r>
              <w:rPr>
                <w:rFonts w:ascii="Arial" w:cs="Arial" w:eastAsia="Arial" w:hAnsi="Arial"/>
                <w:b/>
                <w:bCs/>
                <w:color w:val="1E2761"/>
                <w:sz w:val="18"/>
                <w:szCs w:val="18"/>
              </w:rPr>
              <w:t xml:space="preserve">Why the Gap Scales With Domain Narrowness</w:t>
            </w:r>
          </w:p>
          <w:p>
            <w:pPr>
              <w:spacing w:after="0" w:before="0"/>
            </w:pPr>
            <w:r>
              <w:rPr>
                <w:rFonts w:ascii="Arial" w:cs="Arial" w:eastAsia="Arial" w:hAnsi="Arial"/>
                <w:color w:val="333333"/>
                <w:sz w:val="19"/>
                <w:szCs w:val="19"/>
              </w:rPr>
              <w:t xml:space="preserve">Cybersecurity text (CVE records, MITRE ATT&amp;CK) is extremely domain-specific. The C2 gap vs MMLU is large (9.31pp regression). Medical text is broader (clinical language overlaps with general English). Code is the broadest of the three — Python/algorithms appear across many MMLU subjects (CS, math). This predicts C2 gap: cyber &gt; medical &gt; code, which is exactly what Activities 2+3 found.</w:t>
            </w:r>
          </w:p>
        </w:tc>
      </w:tr>
    </w:tbl>
    <w:p>
      <w:pPr>
        <w:spacing w:after="60" w:before="60"/>
      </w:pPr>
      <w:r>
        <w:t xml:space="preserve"/>
      </w:r>
    </w:p>
    <w:p>
      <w:pPr>
        <w:pStyle w:val="Heading1"/>
        <w:pBdr>
          <w:bottom w:val="single" w:color="1E2761" w:sz="4" w:space="4"/>
        </w:pBdr>
        <w:spacing w:after="120" w:before="320"/>
      </w:pPr>
      <w:r>
        <w:rPr>
          <w:rFonts w:ascii="Arial" w:cs="Arial" w:eastAsia="Arial" w:hAnsi="Arial"/>
          <w:b/>
          <w:bCs/>
          <w:color w:val="1E2761"/>
          <w:sz w:val="28"/>
          <w:szCs w:val="28"/>
        </w:rPr>
        <w:t xml:space="preserve">2. What We Measure</w:t>
      </w:r>
    </w:p>
    <w:p>
      <w:pPr>
        <w:pStyle w:val="Heading2"/>
        <w:spacing w:after="80" w:before="240"/>
      </w:pPr>
      <w:r>
        <w:rPr>
          <w:rFonts w:ascii="Arial" w:cs="Arial" w:eastAsia="Arial" w:hAnsi="Arial"/>
          <w:b/>
          <w:bCs/>
          <w:color w:val="028090"/>
          <w:sz w:val="24"/>
          <w:szCs w:val="24"/>
        </w:rPr>
        <w:t xml:space="preserve">2.1  The Key Metric: Per-Channel Range Ratio</w:t>
      </w:r>
    </w:p>
    <w:p>
      <w:pPr>
        <w:spacing w:after="80" w:before="60"/>
        <w:jc w:val="left"/>
      </w:pPr>
      <w:r>
        <w:rPr>
          <w:rFonts w:ascii="Arial" w:cs="Arial" w:eastAsia="Arial" w:hAnsi="Arial"/>
          <w:b w:val="false"/>
          <w:bCs w:val="false"/>
          <w:i w:val="false"/>
          <w:iCs w:val="false"/>
          <w:color w:val="333333"/>
          <w:sz w:val="20"/>
          <w:szCs w:val="20"/>
        </w:rPr>
        <w:t xml:space="preserve">For each linear layer l and calibration condition c ∈ {C1, C2, C3, MMLU}:</w:t>
      </w:r>
    </w:p>
    <w:p>
      <w:pPr>
        <w:spacing w:after="60" w:before="60"/>
      </w:pPr>
      <w:r>
        <w:t xml:space="preserve"/>
      </w:r>
    </w:p>
    <w:p>
      <w:pPr>
        <w:spacing w:after="0" w:before="0"/>
        <w:ind w:left="360"/>
      </w:pPr>
      <w:r>
        <w:rPr>
          <w:rFonts w:ascii="Courier New" w:cs="Courier New" w:eastAsia="Courier New" w:hAnsi="Courier New"/>
          <w:color w:val="333333"/>
          <w:sz w:val="18"/>
          <w:szCs w:val="18"/>
        </w:rPr>
        <w:t xml:space="preserve">channel_max[l, c]_j = max over all tokens and samples of |X_c[j]|</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where j indexes the input channel, and X_c is the input activation tensor to layer l under condition c.</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The range ratio for condition c relative to MMLU:</w:t>
      </w:r>
    </w:p>
    <w:p>
      <w:pPr>
        <w:spacing w:after="60" w:before="60"/>
      </w:pPr>
      <w:r>
        <w:t xml:space="preserve"/>
      </w:r>
    </w:p>
    <w:p>
      <w:pPr>
        <w:spacing w:after="0" w:before="0"/>
        <w:ind w:left="360"/>
      </w:pPr>
      <w:r>
        <w:rPr>
          <w:rFonts w:ascii="Courier New" w:cs="Courier New" w:eastAsia="Courier New" w:hAnsi="Courier New"/>
          <w:color w:val="333333"/>
          <w:sz w:val="18"/>
          <w:szCs w:val="18"/>
        </w:rPr>
        <w:t xml:space="preserve">range_ratio[l, c] = mean_j( channel_max[l, c]_j / channel_max[l, MMLU]_j )</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A range ratio of 1.0 means calibration data produces the same activation magnitudes as actual MMLU inference — perfect match. A ratio below 1.0 means calibration underestimates the inference range. This is what causes SQ to set wrong smoothing vectors.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Range Ratio</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Interpretation</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19"/>
                <w:szCs w:val="19"/>
              </w:rPr>
              <w:t xml:space="preserve">range_ratio =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Calibration perfectly matches inference range</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19"/>
                <w:szCs w:val="19"/>
              </w:rPr>
              <w:t xml:space="preserve">range_ratio = 0.90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 underestimation — mild SQ degradation</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19"/>
                <w:szCs w:val="19"/>
              </w:rPr>
              <w:t xml:space="preserve">range_ratio = 0.75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25% underestimation — significant degradation</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19"/>
                <w:szCs w:val="19"/>
              </w:rPr>
              <w:t xml:space="preserve">range_ratio &lt; 0.70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Severe underestimation — catastrophic SQ failure</w:t>
            </w:r>
          </w:p>
        </w:tc>
      </w:tr>
    </w:tbl>
    <w:p>
      <w:pPr>
        <w:spacing w:after="60" w:before="60"/>
      </w:pPr>
      <w:r>
        <w:t xml:space="preserve"/>
      </w:r>
    </w:p>
    <w:p>
      <w:pPr>
        <w:pStyle w:val="Heading2"/>
        <w:spacing w:after="80" w:before="240"/>
      </w:pPr>
      <w:r>
        <w:rPr>
          <w:rFonts w:ascii="Arial" w:cs="Arial" w:eastAsia="Arial" w:hAnsi="Arial"/>
          <w:b/>
          <w:bCs/>
          <w:color w:val="028090"/>
          <w:sz w:val="24"/>
          <w:szCs w:val="24"/>
        </w:rPr>
        <w:t xml:space="preserve">2.2  Expected Results</w:t>
      </w:r>
    </w:p>
    <w:p>
      <w:pPr>
        <w:spacing w:after="80" w:before="60"/>
        <w:jc w:val="left"/>
      </w:pPr>
      <w:r>
        <w:rPr>
          <w:rFonts w:ascii="Arial" w:cs="Arial" w:eastAsia="Arial" w:hAnsi="Arial"/>
          <w:b w:val="false"/>
          <w:bCs w:val="false"/>
          <w:i w:val="false"/>
          <w:iCs w:val="false"/>
          <w:color w:val="333333"/>
          <w:sz w:val="20"/>
          <w:szCs w:val="20"/>
        </w:rPr>
        <w:t xml:space="preserve">Based on the observed regression magnitudes from Activities 2+3, we expect: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Calibration Condition</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Expected Range Ratio</w:t>
            </w:r>
          </w:p>
        </w:tc>
      </w:tr>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sz w:val="19"/>
                <w:szCs w:val="19"/>
              </w:rPr>
              <w:t xml:space="preserve">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Expected range_ratio (mean across layers)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C1 Generic (WikiText)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~0.88–0.92 — generic text is somewhat narrow vs MMLU</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19"/>
                <w:szCs w:val="19"/>
              </w:rPr>
              <w:t xml:space="preserve">C2 Self-gen</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19"/>
                <w:szCs w:val="19"/>
              </w:rPr>
              <w:t xml:space="preserve">~0.72–0.82 — narrowest; autoregressive domain decoding</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19"/>
                <w:szCs w:val="19"/>
              </w:rPr>
              <w:t xml:space="preserve">C3 Domain (DACS)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19"/>
                <w:szCs w:val="19"/>
              </w:rPr>
              <w:t xml:space="preserve">~0.90–0.96 — closest to MMLU (domain + diverse queries)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sz w:val="19"/>
                <w:szCs w:val="19"/>
              </w:rPr>
              <w:t xml:space="preserve">MMLU (inference)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sz w:val="19"/>
                <w:szCs w:val="19"/>
              </w:rPr>
              <w:t xml:space="preserve">1.000 by definition (the reference)</w:t>
            </w:r>
          </w:p>
        </w:tc>
      </w:tr>
    </w:tbl>
    <w:p>
      <w:pPr>
        <w:spacing w:after="60" w:before="60"/>
      </w:pPr>
      <w:r>
        <w:t xml:space="preserve"/>
      </w:r>
    </w:p>
    <w:p>
      <w:pPr>
        <w:pStyle w:val="Heading2"/>
        <w:spacing w:after="80" w:before="240"/>
      </w:pPr>
      <w:r>
        <w:rPr>
          <w:rFonts w:ascii="Arial" w:cs="Arial" w:eastAsia="Arial" w:hAnsi="Arial"/>
          <w:b/>
          <w:bCs/>
          <w:color w:val="028090"/>
          <w:sz w:val="24"/>
          <w:szCs w:val="24"/>
        </w:rPr>
        <w:t xml:space="preserve">2.3  Secondary Analysis: Correlation Across Domains</w:t>
      </w:r>
    </w:p>
    <w:p>
      <w:pPr>
        <w:spacing w:after="80" w:before="60"/>
        <w:jc w:val="left"/>
      </w:pPr>
      <w:r>
        <w:rPr>
          <w:rFonts w:ascii="Arial" w:cs="Arial" w:eastAsia="Arial" w:hAnsi="Arial"/>
          <w:b w:val="false"/>
          <w:bCs w:val="false"/>
          <w:i w:val="false"/>
          <w:iCs w:val="false"/>
          <w:color w:val="333333"/>
          <w:sz w:val="20"/>
          <w:szCs w:val="20"/>
        </w:rPr>
        <w:t xml:space="preserve">Across the three domains, the C2 underestimation gap (1 − range_ratio_C2) should correlate with the SQ C2 MMLU regression observed in Activities 2+3: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Domain</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Expected pattern</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19"/>
                <w:szCs w:val="19"/>
              </w:rPr>
              <w:t xml:space="preserve">Cybersecurity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19"/>
                <w:szCs w:val="19"/>
              </w:rPr>
              <w:t xml:space="preserve">9.31pp SQ C2 regression → largest expected gap</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19"/>
                <w:szCs w:val="19"/>
              </w:rPr>
              <w:t xml:space="preserve">Biomedical</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19"/>
                <w:szCs w:val="19"/>
              </w:rPr>
              <w:t xml:space="preserve">2.41pp SQ C2 regression → medium gap</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19"/>
                <w:szCs w:val="19"/>
              </w:rPr>
              <w:t xml:space="preserve">Code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19"/>
                <w:szCs w:val="19"/>
              </w:rPr>
              <w:t xml:space="preserve">1.80pp SQ C2 regression → smallest gap</w:t>
            </w:r>
          </w:p>
        </w:tc>
      </w:tr>
    </w:tbl>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If the Pearson correlation between the gap and the regression is r &gt; 0.90, this is strong mechanistic evidence. Fig. 6 will show this scatter plot with a trend line.</w:t>
      </w:r>
    </w:p>
    <w:p>
      <w:pPr>
        <w:spacing w:after="60" w:before="60"/>
      </w:pPr>
      <w:r>
        <w:t xml:space="preserve"/>
      </w:r>
    </w:p>
    <w:p>
      <w:pPr>
        <w:pStyle w:val="Heading1"/>
        <w:pBdr>
          <w:bottom w:val="single" w:color="1E2761" w:sz="4" w:space="4"/>
        </w:pBdr>
        <w:spacing w:after="120" w:before="320"/>
      </w:pPr>
      <w:r>
        <w:rPr>
          <w:rFonts w:ascii="Arial" w:cs="Arial" w:eastAsia="Arial" w:hAnsi="Arial"/>
          <w:b/>
          <w:bCs/>
          <w:color w:val="1E2761"/>
          <w:sz w:val="28"/>
          <w:szCs w:val="28"/>
        </w:rPr>
        <w:t xml:space="preserve">3. Which Models Are Needed</w:t>
      </w:r>
    </w:p>
    <w:p>
      <w:pPr>
        <w:pStyle w:val="Heading2"/>
        <w:spacing w:after="80" w:before="240"/>
      </w:pPr>
      <w:r>
        <w:rPr>
          <w:rFonts w:ascii="Arial" w:cs="Arial" w:eastAsia="Arial" w:hAnsi="Arial"/>
          <w:b/>
          <w:bCs/>
          <w:color w:val="028090"/>
          <w:sz w:val="24"/>
          <w:szCs w:val="24"/>
        </w:rPr>
        <w:t xml:space="preserve">3.1  FP16 Models (not quantized)</w:t>
      </w:r>
    </w:p>
    <w:p>
      <w:pPr>
        <w:spacing w:after="80" w:before="60"/>
        <w:jc w:val="left"/>
      </w:pPr>
      <w:r>
        <w:rPr>
          <w:rFonts w:ascii="Arial" w:cs="Arial" w:eastAsia="Arial" w:hAnsi="Arial"/>
          <w:b w:val="false"/>
          <w:bCs w:val="false"/>
          <w:i w:val="false"/>
          <w:iCs w:val="false"/>
          <w:color w:val="333333"/>
          <w:sz w:val="20"/>
          <w:szCs w:val="20"/>
        </w:rPr>
        <w:t xml:space="preserve">The activation analysis runs on the FP16 (unquantized) model — this is the model SQ uses during calibration to compute smoothing vectors. We need one FP16 model per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Domain</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How to get the model</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19"/>
                <w:szCs w:val="19"/>
              </w:rPr>
              <w:t xml:space="preserve">Medical</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19"/>
                <w:szCs w:val="19"/>
              </w:rPr>
              <w:t xml:space="preserve">m42-health/Llama3-Med42-8B — download from HF (gated, need access)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19"/>
                <w:szCs w:val="19"/>
              </w:rPr>
              <w:t xml:space="preserve">Code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19"/>
                <w:szCs w:val="19"/>
              </w:rPr>
              <w:t xml:space="preserve">meta-llama/CodeLlama-7b-Instruct-hf — download from HF (public)</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19"/>
                <w:szCs w:val="19"/>
              </w:rPr>
              <w:t xml:space="preserve">Cybersecurity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19"/>
                <w:szCs w:val="19"/>
              </w:rPr>
              <w:t xml:space="preserve">Rebuild from LoRA adapter + Llama-3.1-8B-Instruct base (adapter is on your local machine)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40" w:before="0"/>
            </w:pPr>
            <w:r>
              <w:rPr>
                <w:rFonts w:ascii="Arial" w:cs="Arial" w:eastAsia="Arial" w:hAnsi="Arial"/>
                <w:b/>
                <w:bCs/>
                <w:color w:val="1E2761"/>
                <w:sz w:val="18"/>
                <w:szCs w:val="18"/>
              </w:rPr>
              <w:t xml:space="preserve">Practical Note: Run Med + Code First</w:t>
            </w:r>
          </w:p>
          <w:p>
            <w:pPr>
              <w:spacing w:after="0" w:before="0"/>
            </w:pPr>
            <w:r>
              <w:rPr>
                <w:rFonts w:ascii="Arial" w:cs="Arial" w:eastAsia="Arial" w:hAnsi="Arial"/>
                <w:color w:val="333333"/>
                <w:sz w:val="19"/>
                <w:szCs w:val="19"/>
              </w:rPr>
              <w:t xml:space="preserve">Medical and code FP16 models are directly downloadable from HuggingFace. Run Activity 4 on these two first — they already give cross-domain evidence. The cybersecurity model requires rebuilding from the LoRA adapter, which is on your local Mac. You can upload the merged model to HF or transfer directly to Lambda. If cyber is unavailable, the med+code results alone are sufficient for the paper.</w:t>
            </w:r>
          </w:p>
        </w:tc>
      </w:tr>
    </w:tbl>
    <w:p>
      <w:pPr>
        <w:spacing w:after="60" w:before="60"/>
      </w:pPr>
      <w:r>
        <w:t xml:space="preserve"/>
      </w:r>
    </w:p>
    <w:p>
      <w:pPr>
        <w:pStyle w:val="Heading2"/>
        <w:spacing w:after="80" w:before="240"/>
      </w:pPr>
      <w:r>
        <w:rPr>
          <w:rFonts w:ascii="Arial" w:cs="Arial" w:eastAsia="Arial" w:hAnsi="Arial"/>
          <w:b/>
          <w:bCs/>
          <w:color w:val="028090"/>
          <w:sz w:val="24"/>
          <w:szCs w:val="24"/>
        </w:rPr>
        <w:t xml:space="preserve">3.2  Calibration Files (Already in GitHub)</w:t>
      </w:r>
    </w:p>
    <w:p>
      <w:pPr>
        <w:spacing w:after="80" w:before="60"/>
        <w:jc w:val="left"/>
      </w:pPr>
      <w:r>
        <w:rPr>
          <w:rFonts w:ascii="Arial" w:cs="Arial" w:eastAsia="Arial" w:hAnsi="Arial"/>
          <w:b w:val="false"/>
          <w:bCs w:val="false"/>
          <w:i w:val="false"/>
          <w:iCs w:val="false"/>
          <w:color w:val="333333"/>
          <w:sz w:val="20"/>
          <w:szCs w:val="20"/>
        </w:rPr>
        <w:t xml:space="preserve">The calibration corpora from Activities 2 and 3 are all committed to the repo. On Lambda, after git pull:</w:t>
      </w:r>
    </w:p>
    <w:p>
      <w:pPr>
        <w:pStyle w:val="ListParagraph"/>
        <w:numPr>
          <w:ilvl w:val="0"/>
          <w:numId w:val="2"/>
        </w:numPr>
        <w:spacing w:after="40" w:before="40"/>
      </w:pPr>
      <w:r>
        <w:rPr>
          <w:rFonts w:ascii="Arial" w:cs="Arial" w:eastAsia="Arial" w:hAnsi="Arial"/>
          <w:sz w:val="20"/>
          <w:szCs w:val="20"/>
        </w:rPr>
        <w:t xml:space="preserve">C1 (generic):  outputs/c1_generic_calib_512.jsonl</w:t>
      </w:r>
    </w:p>
    <w:p>
      <w:pPr>
        <w:pStyle w:val="ListParagraph"/>
        <w:numPr>
          <w:ilvl w:val="0"/>
          <w:numId w:val="2"/>
        </w:numPr>
        <w:spacing w:after="40" w:before="40"/>
      </w:pPr>
      <w:r>
        <w:rPr>
          <w:rFonts w:ascii="Arial" w:cs="Arial" w:eastAsia="Arial" w:hAnsi="Arial"/>
          <w:sz w:val="20"/>
          <w:szCs w:val="20"/>
        </w:rPr>
        <w:t xml:space="preserve">C2 medical:    outputs/med_c2_selfgen_512.jsonl</w:t>
      </w:r>
    </w:p>
    <w:p>
      <w:pPr>
        <w:pStyle w:val="ListParagraph"/>
        <w:numPr>
          <w:ilvl w:val="0"/>
          <w:numId w:val="2"/>
        </w:numPr>
        <w:spacing w:after="40" w:before="40"/>
      </w:pPr>
      <w:r>
        <w:rPr>
          <w:rFonts w:ascii="Arial" w:cs="Arial" w:eastAsia="Arial" w:hAnsi="Arial"/>
          <w:sz w:val="20"/>
          <w:szCs w:val="20"/>
        </w:rPr>
        <w:t xml:space="preserve">C2 code:       outputs/code_c2_selfgen_512.jsonl</w:t>
      </w:r>
    </w:p>
    <w:p>
      <w:pPr>
        <w:pStyle w:val="ListParagraph"/>
        <w:numPr>
          <w:ilvl w:val="0"/>
          <w:numId w:val="2"/>
        </w:numPr>
        <w:spacing w:after="40" w:before="40"/>
      </w:pPr>
      <w:r>
        <w:rPr>
          <w:rFonts w:ascii="Arial" w:cs="Arial" w:eastAsia="Arial" w:hAnsi="Arial"/>
          <w:sz w:val="20"/>
          <w:szCs w:val="20"/>
        </w:rPr>
        <w:t xml:space="preserve">C3 medical:    outputs/med_c3_calib_512.jsonl</w:t>
      </w:r>
    </w:p>
    <w:p>
      <w:pPr>
        <w:pStyle w:val="ListParagraph"/>
        <w:numPr>
          <w:ilvl w:val="0"/>
          <w:numId w:val="2"/>
        </w:numPr>
        <w:spacing w:after="40" w:before="40"/>
      </w:pPr>
      <w:r>
        <w:rPr>
          <w:rFonts w:ascii="Arial" w:cs="Arial" w:eastAsia="Arial" w:hAnsi="Arial"/>
          <w:sz w:val="20"/>
          <w:szCs w:val="20"/>
        </w:rPr>
        <w:t xml:space="preserve">C3 code:       outputs/code_c3_calib_512.jsonl</w:t>
      </w:r>
    </w:p>
    <w:p>
      <w:pPr>
        <w:pStyle w:val="ListParagraph"/>
        <w:numPr>
          <w:ilvl w:val="0"/>
          <w:numId w:val="2"/>
        </w:numPr>
        <w:spacing w:after="40" w:before="40"/>
      </w:pPr>
      <w:r>
        <w:rPr>
          <w:rFonts w:ascii="Arial" w:cs="Arial" w:eastAsia="Arial" w:hAnsi="Arial"/>
          <w:sz w:val="20"/>
          <w:szCs w:val="20"/>
        </w:rPr>
        <w:t xml:space="preserve">C2/C3 cyber:   in repo (Activity 2 outputs, already force-added)</w:t>
      </w:r>
    </w:p>
    <w:p>
      <w:pPr>
        <w:spacing w:after="60" w:before="60"/>
      </w:pPr>
      <w:r>
        <w:t xml:space="preserve"/>
      </w:r>
    </w:p>
    <w:p>
      <w:pPr>
        <w:pStyle w:val="Heading1"/>
        <w:pBdr>
          <w:bottom w:val="single" w:color="1E2761" w:sz="4" w:space="4"/>
        </w:pBdr>
        <w:spacing w:after="120" w:before="320"/>
      </w:pPr>
      <w:r>
        <w:rPr>
          <w:rFonts w:ascii="Arial" w:cs="Arial" w:eastAsia="Arial" w:hAnsi="Arial"/>
          <w:b/>
          <w:bCs/>
          <w:color w:val="1E2761"/>
          <w:sz w:val="28"/>
          <w:szCs w:val="28"/>
        </w:rPr>
        <w:t xml:space="preserve">4. How Results Feed Into the Paper</w:t>
      </w:r>
    </w:p>
    <w:p>
      <w:pPr>
        <w:pStyle w:val="Heading2"/>
        <w:spacing w:after="80" w:before="240"/>
      </w:pPr>
      <w:r>
        <w:rPr>
          <w:rFonts w:ascii="Arial" w:cs="Arial" w:eastAsia="Arial" w:hAnsi="Arial"/>
          <w:b/>
          <w:bCs/>
          <w:color w:val="028090"/>
          <w:sz w:val="24"/>
          <w:szCs w:val="24"/>
        </w:rPr>
        <w:t xml:space="preserve">4.1  New Section: ‘Mechanistic Analysis’</w:t>
      </w:r>
    </w:p>
    <w:p>
      <w:pPr>
        <w:spacing w:after="80" w:before="60"/>
        <w:jc w:val="left"/>
      </w:pPr>
      <w:r>
        <w:rPr>
          <w:rFonts w:ascii="Arial" w:cs="Arial" w:eastAsia="Arial" w:hAnsi="Arial"/>
          <w:b w:val="false"/>
          <w:bCs w:val="false"/>
          <w:i w:val="false"/>
          <w:iCs w:val="false"/>
          <w:color w:val="333333"/>
          <w:sz w:val="20"/>
          <w:szCs w:val="20"/>
        </w:rPr>
        <w:t xml:space="preserve">Activity 4 results support a new subsection in the Results (or a standalone Mechanism section) that:</w:t>
      </w:r>
    </w:p>
    <w:p>
      <w:pPr>
        <w:pStyle w:val="ListParagraph"/>
        <w:numPr>
          <w:ilvl w:val="0"/>
          <w:numId w:val="2"/>
        </w:numPr>
        <w:spacing w:after="40" w:before="40"/>
      </w:pPr>
      <w:r>
        <w:rPr>
          <w:rFonts w:ascii="Arial" w:cs="Arial" w:eastAsia="Arial" w:hAnsi="Arial"/>
          <w:sz w:val="20"/>
          <w:szCs w:val="20"/>
        </w:rPr>
        <w:t xml:space="preserve">Shows per-channel range ratios for C1/C2/C3 vs MMLU for each domain (Fig. 5)</w:t>
      </w:r>
    </w:p>
    <w:p>
      <w:pPr>
        <w:pStyle w:val="ListParagraph"/>
        <w:numPr>
          <w:ilvl w:val="0"/>
          <w:numId w:val="2"/>
        </w:numPr>
        <w:spacing w:after="40" w:before="40"/>
      </w:pPr>
      <w:r>
        <w:rPr>
          <w:rFonts w:ascii="Arial" w:cs="Arial" w:eastAsia="Arial" w:hAnsi="Arial"/>
          <w:sz w:val="20"/>
          <w:szCs w:val="20"/>
        </w:rPr>
        <w:t xml:space="preserve">Shows the correlation between C2 underestimation gap and SQ C2 regression magnitude (Fig. 6)</w:t>
      </w:r>
    </w:p>
    <w:p>
      <w:pPr>
        <w:pStyle w:val="ListParagraph"/>
        <w:numPr>
          <w:ilvl w:val="0"/>
          <w:numId w:val="2"/>
        </w:numPr>
        <w:spacing w:after="40" w:before="40"/>
      </w:pPr>
      <w:r>
        <w:rPr>
          <w:rFonts w:ascii="Arial" w:cs="Arial" w:eastAsia="Arial" w:hAnsi="Arial"/>
          <w:sz w:val="20"/>
          <w:szCs w:val="20"/>
        </w:rPr>
        <w:t xml:space="preserve">Explains why FP8 is immune: its 4-bit exponent absorbs calibration mismatch without accuracy cost</w:t>
      </w:r>
    </w:p>
    <w:p>
      <w:pPr>
        <w:pStyle w:val="ListParagraph"/>
        <w:numPr>
          <w:ilvl w:val="0"/>
          <w:numId w:val="2"/>
        </w:numPr>
        <w:spacing w:after="40" w:before="40"/>
      </w:pPr>
      <w:r>
        <w:rPr>
          <w:rFonts w:ascii="Arial" w:cs="Arial" w:eastAsia="Arial" w:hAnsi="Arial"/>
          <w:sz w:val="20"/>
          <w:szCs w:val="20"/>
        </w:rPr>
        <w:t xml:space="preserve">Explains why AWQ is mildly affected: activations remain in FP16, so only weight scales are affected</w:t>
      </w:r>
    </w:p>
    <w:p>
      <w:pPr>
        <w:spacing w:after="60" w:before="60"/>
      </w:pPr>
      <w:r>
        <w:t xml:space="preserve"/>
      </w:r>
    </w:p>
    <w:p>
      <w:pPr>
        <w:spacing w:after="80" w:before="60"/>
        <w:jc w:val="left"/>
      </w:pPr>
      <w:r>
        <w:rPr>
          <w:rFonts w:ascii="Arial" w:cs="Arial" w:eastAsia="Arial" w:hAnsi="Arial"/>
          <w:b w:val="false"/>
          <w:bCs w:val="false"/>
          <w:i w:val="false"/>
          <w:iCs w:val="false"/>
          <w:color w:val="333333"/>
          <w:sz w:val="20"/>
          <w:szCs w:val="20"/>
        </w:rPr>
        <w:t xml:space="preserve">This elevates the paper from ‘descriptive sensitivity study’ to ‘mechanistically grounded finding.’ Reviewers asking “is this just an artifact?” can be answered with Fig. 6: the effect size is predicted by the activation range mismatch.</w:t>
      </w:r>
    </w:p>
    <w:p>
      <w:pPr>
        <w:pStyle w:val="Heading2"/>
        <w:spacing w:after="80" w:before="240"/>
      </w:pPr>
      <w:r>
        <w:rPr>
          <w:rFonts w:ascii="Arial" w:cs="Arial" w:eastAsia="Arial" w:hAnsi="Arial"/>
          <w:b/>
          <w:bCs/>
          <w:color w:val="028090"/>
          <w:sz w:val="24"/>
          <w:szCs w:val="24"/>
        </w:rPr>
        <w:t xml:space="preserve">4.2  Contribution 4 (New)</w:t>
      </w:r>
    </w:p>
    <w:p>
      <w:pPr>
        <w:spacing w:after="80" w:before="60"/>
        <w:jc w:val="left"/>
      </w:pPr>
      <w:r>
        <w:rPr>
          <w:rFonts w:ascii="Arial" w:cs="Arial" w:eastAsia="Arial" w:hAnsi="Arial"/>
          <w:b w:val="false"/>
          <w:bCs w:val="false"/>
          <w:i w:val="false"/>
          <w:iCs w:val="false"/>
          <w:color w:val="333333"/>
          <w:sz w:val="20"/>
          <w:szCs w:val="20"/>
        </w:rPr>
        <w:t xml:space="preserve">With Activity 4 complete, the paper gains a fourth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0"/>
            </w:pPr>
            <w:r>
              <w:rPr>
                <w:rFonts w:ascii="Arial" w:cs="Arial" w:eastAsia="Arial" w:hAnsi="Arial"/>
                <w:b/>
                <w:bCs/>
                <w:color w:val="1E2761"/>
                <w:sz w:val="18"/>
                <w:szCs w:val="18"/>
              </w:rPr>
              <w:t xml:space="preserve">Contribution 4 (mechanistic)</w:t>
            </w:r>
          </w:p>
          <w:p>
            <w:pPr>
              <w:spacing w:after="0" w:before="0"/>
            </w:pPr>
            <w:r>
              <w:rPr>
                <w:rFonts w:ascii="Arial" w:cs="Arial" w:eastAsia="Arial" w:hAnsi="Arial"/>
                <w:color w:val="333333"/>
                <w:sz w:val="19"/>
                <w:szCs w:val="19"/>
              </w:rPr>
              <w:t xml:space="preserve">We show that the SQ C2 MMLU regression magnitude is predicted by the per-channel input activation range ratio between C2 calibration and MMLU inference. Domains where C2 text diverges most from the inference distribution (cybersecurity &gt; medical &gt; code) exhibit the largest regression — consistent with a calibration-range-underestimation mechanism.</w:t>
            </w:r>
          </w:p>
        </w:tc>
      </w:tr>
    </w:tbl>
    <w:p>
      <w:pPr>
        <w:spacing w:after="60" w:before="60"/>
      </w:pPr>
      <w:r>
        <w:t xml:space="preserve"/>
      </w:r>
    </w:p>
    <w:p>
      <w:pPr>
        <w:pStyle w:val="Heading2"/>
        <w:spacing w:after="80" w:before="240"/>
      </w:pPr>
      <w:r>
        <w:rPr>
          <w:rFonts w:ascii="Arial" w:cs="Arial" w:eastAsia="Arial" w:hAnsi="Arial"/>
          <w:b/>
          <w:bCs/>
          <w:color w:val="028090"/>
          <w:sz w:val="24"/>
          <w:szCs w:val="24"/>
        </w:rPr>
        <w:t xml:space="preserve">4.3  What Activity 4 Does NOT Claim</w:t>
      </w:r>
    </w:p>
    <w:p>
      <w:pPr>
        <w:pStyle w:val="ListParagraph"/>
        <w:numPr>
          <w:ilvl w:val="0"/>
          <w:numId w:val="2"/>
        </w:numPr>
        <w:spacing w:after="40" w:before="40"/>
      </w:pPr>
      <w:r>
        <w:rPr>
          <w:rFonts w:ascii="Arial" w:cs="Arial" w:eastAsia="Arial" w:hAnsi="Arial"/>
          <w:sz w:val="20"/>
          <w:szCs w:val="20"/>
        </w:rPr>
        <w:t xml:space="preserve">We do not claim to have discovered a new quantization method.</w:t>
      </w:r>
    </w:p>
    <w:p>
      <w:pPr>
        <w:pStyle w:val="ListParagraph"/>
        <w:numPr>
          <w:ilvl w:val="0"/>
          <w:numId w:val="2"/>
        </w:numPr>
        <w:spacing w:after="40" w:before="40"/>
      </w:pPr>
      <w:r>
        <w:rPr>
          <w:rFonts w:ascii="Arial" w:cs="Arial" w:eastAsia="Arial" w:hAnsi="Arial"/>
          <w:sz w:val="20"/>
          <w:szCs w:val="20"/>
        </w:rPr>
        <w:t xml:space="preserve">We do not claim the DQD score is a novel metric that generalises beyond SQ.</w:t>
      </w:r>
    </w:p>
    <w:p>
      <w:pPr>
        <w:pStyle w:val="ListParagraph"/>
        <w:numPr>
          <w:ilvl w:val="0"/>
          <w:numId w:val="2"/>
        </w:numPr>
        <w:spacing w:after="40" w:before="40"/>
      </w:pPr>
      <w:r>
        <w:rPr>
          <w:rFonts w:ascii="Arial" w:cs="Arial" w:eastAsia="Arial" w:hAnsi="Arial"/>
          <w:sz w:val="20"/>
          <w:szCs w:val="20"/>
        </w:rPr>
        <w:t xml:space="preserve">We do not claim this mechanism is exhaustive — other factors (outlier structure, layer-wise LoRA weight norms) may also contribute.</w:t>
      </w:r>
    </w:p>
    <w:p>
      <w:pPr>
        <w:spacing w:after="80" w:before="60"/>
        <w:jc w:val="left"/>
      </w:pPr>
      <w:r>
        <w:rPr>
          <w:rFonts w:ascii="Arial" w:cs="Arial" w:eastAsia="Arial" w:hAnsi="Arial"/>
          <w:b w:val="false"/>
          <w:bCs w:val="false"/>
          <w:i w:val="false"/>
          <w:iCs w:val="false"/>
          <w:color w:val="333333"/>
          <w:sz w:val="20"/>
          <w:szCs w:val="20"/>
        </w:rPr>
        <w:t xml:space="preserve">These are honest limits. A Findings-track paper does not need mechanistic completeness — it needs honest, reproducible evidence for the effects reported.</w:t>
      </w:r>
    </w:p>
    <w:p>
      <w:pPr>
        <w:spacing w:after="60" w:before="60"/>
      </w:pPr>
      <w:r>
        <w:t xml:space="preserve"/>
      </w:r>
    </w:p>
    <w:p>
      <w:pPr>
        <w:pStyle w:val="Heading1"/>
        <w:pBdr>
          <w:bottom w:val="single" w:color="1E2761" w:sz="4" w:space="4"/>
        </w:pBdr>
        <w:spacing w:after="120" w:before="320"/>
      </w:pPr>
      <w:r>
        <w:rPr>
          <w:rFonts w:ascii="Arial" w:cs="Arial" w:eastAsia="Arial" w:hAnsi="Arial"/>
          <w:b/>
          <w:bCs/>
          <w:color w:val="1E2761"/>
          <w:sz w:val="28"/>
          <w:szCs w:val="28"/>
        </w:rPr>
        <w:t xml:space="preserve">5. Quick Reference: Activity 4 Outputs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File</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results/activity4_activation_results.json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Per-layer range ratios for all domains. Source data for figs 5+6.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paper/fig5_activation_ranges.pdf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Bar chart: mean range ratio per (domain × condition). C2 should be lowest.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paper/fig6_kl_vs_regression.pdf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Scatter: C2 gap vs SQ C2 regression across domains. Pearson r expected &gt;0.90.</w:t>
            </w:r>
          </w:p>
        </w:tc>
      </w:tr>
    </w:tbl>
    <w:p>
      <w:pPr>
        <w:spacing w:after="60" w:before="60"/>
      </w:pPr>
      <w:r>
        <w:t xml:space="preserve"/>
      </w:r>
    </w:p>
    <w:p>
      <w:pPr>
        <w:spacing w:before="240"/>
        <w:jc w:val="center"/>
      </w:pPr>
      <w:r>
        <w:rPr>
          <w:rFonts w:ascii="Arial" w:cs="Arial" w:eastAsia="Arial" w:hAnsi="Arial"/>
          <w:color w:val="888888"/>
          <w:sz w:val="16"/>
          <w:szCs w:val="16"/>
        </w:rPr>
        <w:t xml:space="preserve">Last updated: April 18, 2026  ·  DACS / Deepank Dixit / Optum AI Research</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8640"/>
      </w:tabs>
    </w:pPr>
    <w:r>
      <w:rPr>
        <w:rFonts w:ascii="Arial" w:cs="Arial" w:eastAsia="Arial" w:hAnsi="Arial"/>
        <w:color w:val="888888"/>
        <w:sz w:val="16"/>
        <w:szCs w:val="16"/>
      </w:rPr>
      <w:t xml:space="preserve">DACS Research Project  ·  Concept Note  ·  CONFIDENTIAL</w:t>
    </w:r>
    <w:r>
      <w:rPr>
        <w:rFonts w:ascii="Arial" w:cs="Arial" w:eastAsia="Arial" w:hAnsi="Arial"/>
        <w:sz w:val="16"/>
        <w:szCs w:val="16"/>
      </w:rPr>
      <w:t xml:space="preserve">	</w:t>
    </w:r>
    <w:r>
      <w:rPr>
        <w:rFonts w:ascii="Arial" w:cs="Arial" w:eastAsia="Arial" w:hAnsi="Arial"/>
        <w:color w:val="888888"/>
        <w:sz w:val="16"/>
        <w:szCs w:val="16"/>
      </w:rPr>
      <w:t xml:space="preserve">Activity 04  —  Activation Distribution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2761"/>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28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2026-04-18T10:38:17.089Z</dcterms:created>
  <dcterms:modified xsi:type="dcterms:W3CDTF">2026-04-18T10:38:17.089Z</dcterms:modified>
</cp:coreProperties>
</file>

<file path=docProps/custom.xml><?xml version="1.0" encoding="utf-8"?>
<Properties xmlns="http://schemas.openxmlformats.org/officeDocument/2006/custom-properties" xmlns:vt="http://schemas.openxmlformats.org/officeDocument/2006/docPropsVTypes"/>
</file>