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RegIntel AI Compliance Report</w:t>
      </w:r>
    </w:p>
    <w:p>
      <w:pPr>
        <w:pStyle w:val="Heading1"/>
      </w:pPr>
      <w:r>
        <w:t>Regulatory Changes</w:t>
      </w:r>
    </w:p>
    <w:p>
      <w:r>
        <w:t>{'changes': [{'type': 'modified', 'category': 'Reporting', 'section': 'Chapter III - Repeal and other provisions', 'summary': 'Repeal of circulars and saving provisions updated [SOURCE 1 | new_regulation]'}, {'type': 'added', 'category': 'Reporting', 'section': 'H. Penal consequences for non-compliance', 'summary': 'Supervisory and enforcement action for non-compliance added [SOURCE 2 | new_regulation]'}, {'type': 'modified', 'category': 'Reporting', 'section': 'Chapter III - Repeal and other provisions', 'summary': 'Repeal of Directions, instructions, and guidelines prior to issuance updated [SOURCE 3 | new_regulation]'}, {'type': 'removed', 'category': 'Reporting', 'section': 'Regulation (Companies) Rules, 1949', 'summary': 'Regulation (Companies) Rules, 1949 removed [SOURCE 4 | old_regulation]'}, {'type': 'added', 'category': 'Risk', 'section': 'The first Bi-monthly Monetary Policy Statement 2014-15', 'summary': 'On-tap licensing framework for universal banks added [SOURCE 1 | new_regulation]'}]}</w:t>
      </w:r>
    </w:p>
    <w:p>
      <w:pPr>
        <w:pStyle w:val="Heading1"/>
      </w:pPr>
      <w:r>
        <w:t>Compliance Gaps</w:t>
      </w:r>
    </w:p>
    <w:p>
      <w:r>
        <w:t>{'gaps': [{'issue': 'Risk categorization review period mismatch', 'regulation_reference': '[SOURCE 1 | new_regulation] (no specific mention of review period)', 'policy_reference': '[SOURCE 1 | internal_policy] (review period: 5 years for Low-Risk, 3 years for High-Risk)', 'risk': 'High'}, {'issue': "Lack of clear guidelines for 'on tap' licensing", 'regulation_reference': "[SOURCE 1 | new_regulation] (mentions 'on tap' licensing but no clear guidelines)", 'policy_reference': "[SOURCE 1 | internal_policy] (no mention of 'on tap' licensing)", 'risk': 'High'}, {'issue': 'No clear mention of penal consequences for non-compliance', 'regulation_reference': '[SOURCE 2 | new_regulation] (mentions penal consequences but no clear details)', 'policy_reference': '[SOURCE 1 | internal_policy] (no mention of penal consequences)', 'risk': 'Medium'}, {'issue': 'Repeal and saving provisions unclear', 'regulation_reference': '[SOURCE 3 | new_regulation] (mentions repeal and saving provisions but unclear)', 'policy_reference': '[SOURCE 1 | internal_policy] (no mention of repeal and saving provisions)', 'risk': 'Medium'}, {'issue': 'Dispensation for declaration of dividend or remittance of profits unclear', 'regulation_reference': '[SOURCE 3 | new_regulation] (mentions dispensation but unclear)', 'policy_reference': '[SOURCE 1 | internal_policy] (no mention of dispensation)', 'risk': 'Medium'}]}</w:t>
      </w:r>
    </w:p>
    <w:p>
      <w:pPr>
        <w:pStyle w:val="Heading1"/>
      </w:pPr>
      <w:r>
        <w:t>Strategic Impact</w:t>
      </w:r>
    </w:p>
    <w:p>
      <w:r>
        <w:t>{'impact': {'departments': ['Compliance', 'Risk', 'Operations', 'IT', 'Legal'], 'systems': ['KYC System', 'Transaction Monitoring', 'Reporting Engine'], 'risk_level': 'Medium', 'priority': 'Medium', 'summary': 'The regulatory changes will require updates to the Reporting Engine and Transaction Monitoring systems to ensure compliance with the new regulations. The Compliance and Risk departments will need to review and update internal policies to align with the new regulations. The Operations department will need to ensure that the on-tap licensing framework is implemented correctly. The IT department will need to update the KYC System to reflect the new regulations. The Legal department will need to review the new regulations and provide guidance on the penal consequences for non-compliance.'}}</w:t>
      </w:r>
    </w:p>
    <w:p>
      <w:pPr>
        <w:pStyle w:val="Heading1"/>
      </w:pPr>
      <w:r>
        <w:t>Recommended Actions</w:t>
      </w:r>
    </w:p>
    <w:p>
      <w:r>
        <w:t>{'actions': [{'step': 'Review and update internal policies', 'description': 'Review and update internal policies to align with the new regulations, specifically in the areas of Reporting and Risk management.', 'owner': 'Compliance | Risk', 'timeline': '1-2 weeks', 'priority': 'High'}, {'step': 'Update the Reporting Engine and Transaction Monitoring systems', 'description': 'Update the Reporting Engine and Transaction Monitoring systems to ensure compliance with the new regulations.', 'owner': 'IT | Operations', 'timeline': '1-2 weeks', 'priority': 'High'}, {'step': 'Implement the on-tap licensing framework', 'description': 'Implement the on-tap licensing framework correctly, as per the new regulations.', 'owner': 'Operations', 'timeline': '1-2 weeks', 'priority': 'High'}, {'step': 'Update the KYC System', 'description': 'Update the KYC System to reflect the new regulations.', 'owner': 'IT', 'timeline': '1-2 weeks', 'priority': 'High'}, {'step': 'Review the new regulations and provide guidance on penal consequences', 'description': 'Review the new regulations and provide guidance on the penal consequences for non-compliance.', 'owner': 'Legal', 'timeline': 'Immediate', 'priority': 'High'}, {'step': 'Address the risk categorization review period mismatch', 'description': 'Review and update the risk categorization review period to align with the new regulations.', 'owner': 'Compliance | Risk', 'timeline': '1-2 weeks', 'priority': 'Medium'}, {'step': "Develop clear guidelines for 'on tap' licensing", 'description': "Develop clear guidelines for the 'on tap' licensing framework, as per the new regulations.", 'owner': 'Compliance | Risk', 'timeline': '1-2 weeks', 'priority': 'Medium'}, {'step': 'Clarify the penal consequences for non-compliance', 'description': 'Review and update internal policies to include clear details on the penal consequences for non-compliance.', 'owner': 'Compliance | Legal', 'timeline': '1-2 weeks', 'priority': 'Medium'}, {'step': 'Clarify the repeal and saving provisions', 'description': 'Review and update internal policies to include clear details on the repeal and saving provisions.', 'owner': 'Compliance | Legal', 'timeline': '1-2 weeks', 'priority': 'Medium'}, {'step': 'Clarify the dispensation for declaration of dividend or remittance of profits', 'description': 'Review and update internal policies to include clear details on the dispensation for declaration of dividend or remittance of profits.', 'owner': 'Compliance | Legal', 'timeline': '1-2 weeks', 'priority':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