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color w:val="0A2540"/>
          <w:sz w:val="52"/>
        </w:rPr>
        <w:t>FDRFlow — Technical Architecture &amp; Implementation Report</w:t>
      </w:r>
    </w:p>
    <w:p>
      <w:pPr>
        <w:spacing w:before="0" w:after="280"/>
      </w:pPr>
      <w:r>
        <w:rPr>
          <w:rFonts w:ascii="Calibri" w:hAnsi="Calibri"/>
          <w:b/>
          <w:color w:val="0284C7"/>
          <w:sz w:val="26"/>
        </w:rPr>
        <w:t>AICTE Security Deposit / Fixed Deposit Receipt (FDR) Lifecycle Automation Portal</w:t>
      </w:r>
    </w:p>
    <w:tbl>
      <w:tblPr>
        <w:tblW w:type="auto" w:w="0"/>
        <w:jc w:val="center"/>
        <w:tblLayout w:type="fixed"/>
        <w:tblLook w:firstColumn="1" w:firstRow="1" w:lastColumn="0" w:lastRow="0" w:noHBand="0" w:noVBand="1" w:val="04A0"/>
        <w:tblBorders>
          <w:top w:val="single" w:sz="4" w:space="0" w:color="CBD5E1"/>
          <w:left w:val="none"/>
          <w:bottom w:val="single" w:sz="8" w:space="0" w:color="0A2540"/>
          <w:right w:val="none"/>
          <w:insideH w:val="single" w:sz="4" w:space="0" w:color="E2E8F0"/>
          <w:insideV w:val="none"/>
        </w:tblBorders>
      </w:tblPr>
      <w:tblGrid>
        <w:gridCol w:w="5040"/>
        <w:gridCol w:w="5040"/>
      </w:tblGrid>
      <w:tr>
        <w:tc>
          <w:tcPr>
            <w:tcW w:type="dxa" w:w="2520"/>
            <w:shd w:fill="0A2540"/>
            <w:tcMar>
              <w:top w:w="100" w:type="dxa"/>
              <w:bottom w:w="100" w:type="dxa"/>
              <w:left w:w="120" w:type="dxa"/>
              <w:right w:w="120" w:type="dxa"/>
            </w:tcMar>
          </w:tcPr>
          <w:p>
            <w:pPr>
              <w:spacing w:before="40" w:after="40"/>
              <w:jc w:val="left"/>
            </w:pPr>
            <w:r>
              <w:rPr>
                <w:rFonts w:ascii="Calibri" w:hAnsi="Calibri"/>
                <w:b/>
                <w:color w:val="FFFFFF"/>
                <w:sz w:val="19"/>
              </w:rPr>
              <w:t>Project Parameter</w:t>
            </w:r>
          </w:p>
        </w:tc>
        <w:tc>
          <w:tcPr>
            <w:tcW w:type="dxa" w:w="7560"/>
            <w:shd w:fill="0A2540"/>
            <w:tcMar>
              <w:top w:w="100" w:type="dxa"/>
              <w:bottom w:w="100" w:type="dxa"/>
              <w:left w:w="120" w:type="dxa"/>
              <w:right w:w="120" w:type="dxa"/>
            </w:tcMar>
          </w:tcPr>
          <w:p>
            <w:pPr>
              <w:spacing w:before="40" w:after="40"/>
              <w:jc w:val="left"/>
            </w:pPr>
            <w:r>
              <w:rPr>
                <w:rFonts w:ascii="Calibri" w:hAnsi="Calibri"/>
                <w:b/>
                <w:color w:val="FFFFFF"/>
                <w:sz w:val="19"/>
              </w:rPr>
              <w:t>Specification Details</w:t>
            </w:r>
          </w:p>
        </w:tc>
      </w:tr>
      <w:tr>
        <w:tc>
          <w:tcPr>
            <w:tcW w:type="dxa" w:w="2520"/>
            <w:shd w:fill="FFFFFF"/>
            <w:tcMar>
              <w:top w:w="80" w:type="dxa"/>
              <w:bottom w:w="80" w:type="dxa"/>
              <w:left w:w="120" w:type="dxa"/>
              <w:right w:w="120" w:type="dxa"/>
            </w:tcMar>
          </w:tcPr>
          <w:p>
            <w:pPr>
              <w:spacing w:before="20" w:after="20"/>
              <w:jc w:val="left"/>
            </w:pPr>
            <w:r>
              <w:rPr>
                <w:rFonts w:ascii="Calibri" w:hAnsi="Calibri"/>
                <w:color w:val="1E293B"/>
                <w:sz w:val="18"/>
              </w:rPr>
              <w:t>Problem Statement ID</w:t>
            </w:r>
          </w:p>
        </w:tc>
        <w:tc>
          <w:tcPr>
            <w:tcW w:type="dxa" w:w="7560"/>
            <w:shd w:fill="FFFFFF"/>
            <w:tcMar>
              <w:top w:w="80" w:type="dxa"/>
              <w:bottom w:w="80" w:type="dxa"/>
              <w:left w:w="120" w:type="dxa"/>
              <w:right w:w="120" w:type="dxa"/>
            </w:tcMar>
          </w:tcPr>
          <w:p>
            <w:pPr>
              <w:spacing w:before="20" w:after="20"/>
              <w:jc w:val="left"/>
            </w:pPr>
            <w:r>
              <w:rPr>
                <w:rFonts w:ascii="Calibri" w:hAnsi="Calibri"/>
                <w:color w:val="1E293B"/>
                <w:sz w:val="18"/>
              </w:rPr>
              <w:t>PS 26265 (Smart India Hackathon 2026)</w:t>
            </w:r>
          </w:p>
        </w:tc>
      </w:tr>
      <w:tr>
        <w:tc>
          <w:tcPr>
            <w:tcW w:type="dxa" w:w="2520"/>
            <w:shd w:fill="F8FAFC"/>
            <w:tcMar>
              <w:top w:w="80" w:type="dxa"/>
              <w:bottom w:w="80" w:type="dxa"/>
              <w:left w:w="120" w:type="dxa"/>
              <w:right w:w="120" w:type="dxa"/>
            </w:tcMar>
          </w:tcPr>
          <w:p>
            <w:pPr>
              <w:spacing w:before="20" w:after="20"/>
              <w:jc w:val="left"/>
            </w:pPr>
            <w:r>
              <w:rPr>
                <w:rFonts w:ascii="Calibri" w:hAnsi="Calibri"/>
                <w:color w:val="1E293B"/>
                <w:sz w:val="18"/>
              </w:rPr>
              <w:t>Target Organization</w:t>
            </w:r>
          </w:p>
        </w:tc>
        <w:tc>
          <w:tcPr>
            <w:tcW w:type="dxa" w:w="7560"/>
            <w:shd w:fill="F8FAFC"/>
            <w:tcMar>
              <w:top w:w="80" w:type="dxa"/>
              <w:bottom w:w="80" w:type="dxa"/>
              <w:left w:w="120" w:type="dxa"/>
              <w:right w:w="120" w:type="dxa"/>
            </w:tcMar>
          </w:tcPr>
          <w:p>
            <w:pPr>
              <w:spacing w:before="20" w:after="20"/>
              <w:jc w:val="left"/>
            </w:pPr>
            <w:r>
              <w:rPr>
                <w:rFonts w:ascii="Calibri" w:hAnsi="Calibri"/>
                <w:color w:val="1E293B"/>
                <w:sz w:val="18"/>
              </w:rPr>
              <w:t>All India Council for Technical Education (AICTE), Ministry of Education</w:t>
            </w:r>
          </w:p>
        </w:tc>
      </w:tr>
      <w:tr>
        <w:tc>
          <w:tcPr>
            <w:tcW w:type="dxa" w:w="2520"/>
            <w:shd w:fill="FFFFFF"/>
            <w:tcMar>
              <w:top w:w="80" w:type="dxa"/>
              <w:bottom w:w="80" w:type="dxa"/>
              <w:left w:w="120" w:type="dxa"/>
              <w:right w:w="120" w:type="dxa"/>
            </w:tcMar>
          </w:tcPr>
          <w:p>
            <w:pPr>
              <w:spacing w:before="20" w:after="20"/>
              <w:jc w:val="left"/>
            </w:pPr>
            <w:r>
              <w:rPr>
                <w:rFonts w:ascii="Calibri" w:hAnsi="Calibri"/>
                <w:color w:val="1E293B"/>
                <w:sz w:val="18"/>
              </w:rPr>
              <w:t>Category &amp; Domain</w:t>
            </w:r>
          </w:p>
        </w:tc>
        <w:tc>
          <w:tcPr>
            <w:tcW w:type="dxa" w:w="7560"/>
            <w:shd w:fill="FFFFFF"/>
            <w:tcMar>
              <w:top w:w="80" w:type="dxa"/>
              <w:bottom w:w="80" w:type="dxa"/>
              <w:left w:w="120" w:type="dxa"/>
              <w:right w:w="120" w:type="dxa"/>
            </w:tcMar>
          </w:tcPr>
          <w:p>
            <w:pPr>
              <w:spacing w:before="20" w:after="20"/>
              <w:jc w:val="left"/>
            </w:pPr>
            <w:r>
              <w:rPr>
                <w:rFonts w:ascii="Calibri" w:hAnsi="Calibri"/>
                <w:color w:val="1E293B"/>
                <w:sz w:val="18"/>
              </w:rPr>
              <w:t>Smart Automation / Software Solution</w:t>
            </w:r>
          </w:p>
        </w:tc>
      </w:tr>
      <w:tr>
        <w:tc>
          <w:tcPr>
            <w:tcW w:type="dxa" w:w="2520"/>
            <w:shd w:fill="F8FAFC"/>
            <w:tcMar>
              <w:top w:w="80" w:type="dxa"/>
              <w:bottom w:w="80" w:type="dxa"/>
              <w:left w:w="120" w:type="dxa"/>
              <w:right w:w="120" w:type="dxa"/>
            </w:tcMar>
          </w:tcPr>
          <w:p>
            <w:pPr>
              <w:spacing w:before="20" w:after="20"/>
              <w:jc w:val="left"/>
            </w:pPr>
            <w:r>
              <w:rPr>
                <w:rFonts w:ascii="Calibri" w:hAnsi="Calibri"/>
                <w:color w:val="1E293B"/>
                <w:sz w:val="18"/>
              </w:rPr>
              <w:t>Prototype Status</w:t>
            </w:r>
          </w:p>
        </w:tc>
        <w:tc>
          <w:tcPr>
            <w:tcW w:type="dxa" w:w="7560"/>
            <w:shd w:fill="F8FAFC"/>
            <w:tcMar>
              <w:top w:w="80" w:type="dxa"/>
              <w:bottom w:w="80" w:type="dxa"/>
              <w:left w:w="120" w:type="dxa"/>
              <w:right w:w="120" w:type="dxa"/>
            </w:tcMar>
          </w:tcPr>
          <w:p>
            <w:pPr>
              <w:spacing w:before="20" w:after="20"/>
              <w:jc w:val="left"/>
            </w:pPr>
            <w:r>
              <w:rPr>
                <w:rFonts w:ascii="Calibri" w:hAnsi="Calibri"/>
                <w:color w:val="1E293B"/>
                <w:sz w:val="18"/>
              </w:rPr>
              <w:t>Fully Functional, Live Local Deployment with Complete E2E Integration</w:t>
            </w:r>
          </w:p>
        </w:tc>
      </w:tr>
      <w:tr>
        <w:tc>
          <w:tcPr>
            <w:tcW w:type="dxa" w:w="2520"/>
            <w:shd w:fill="FFFFFF"/>
            <w:tcMar>
              <w:top w:w="80" w:type="dxa"/>
              <w:bottom w:w="80" w:type="dxa"/>
              <w:left w:w="120" w:type="dxa"/>
              <w:right w:w="120" w:type="dxa"/>
            </w:tcMar>
          </w:tcPr>
          <w:p>
            <w:pPr>
              <w:spacing w:before="20" w:after="20"/>
              <w:jc w:val="left"/>
            </w:pPr>
            <w:r>
              <w:rPr>
                <w:rFonts w:ascii="Calibri" w:hAnsi="Calibri"/>
                <w:color w:val="1E293B"/>
                <w:sz w:val="18"/>
              </w:rPr>
              <w:t>Frontend Environment</w:t>
            </w:r>
          </w:p>
        </w:tc>
        <w:tc>
          <w:tcPr>
            <w:tcW w:type="dxa" w:w="7560"/>
            <w:shd w:fill="FFFFFF"/>
            <w:tcMar>
              <w:top w:w="80" w:type="dxa"/>
              <w:bottom w:w="80" w:type="dxa"/>
              <w:left w:w="120" w:type="dxa"/>
              <w:right w:w="120" w:type="dxa"/>
            </w:tcMar>
          </w:tcPr>
          <w:p>
            <w:pPr>
              <w:spacing w:before="20" w:after="20"/>
              <w:jc w:val="left"/>
            </w:pPr>
            <w:r>
              <w:rPr>
                <w:rFonts w:ascii="Calibri" w:hAnsi="Calibri"/>
                <w:color w:val="1E293B"/>
                <w:sz w:val="18"/>
              </w:rPr>
              <w:t>http://localhost:5173 (React 18 + Vite SPA with Glassmorphic Design)</w:t>
            </w:r>
          </w:p>
        </w:tc>
      </w:tr>
      <w:tr>
        <w:tc>
          <w:tcPr>
            <w:tcW w:type="dxa" w:w="2520"/>
            <w:shd w:fill="F8FAFC"/>
            <w:tcMar>
              <w:top w:w="80" w:type="dxa"/>
              <w:bottom w:w="80" w:type="dxa"/>
              <w:left w:w="120" w:type="dxa"/>
              <w:right w:w="120" w:type="dxa"/>
            </w:tcMar>
          </w:tcPr>
          <w:p>
            <w:pPr>
              <w:spacing w:before="20" w:after="20"/>
              <w:jc w:val="left"/>
            </w:pPr>
            <w:r>
              <w:rPr>
                <w:rFonts w:ascii="Calibri" w:hAnsi="Calibri"/>
                <w:color w:val="1E293B"/>
                <w:sz w:val="18"/>
              </w:rPr>
              <w:t>Backend API Service</w:t>
            </w:r>
          </w:p>
        </w:tc>
        <w:tc>
          <w:tcPr>
            <w:tcW w:type="dxa" w:w="7560"/>
            <w:shd w:fill="F8FAFC"/>
            <w:tcMar>
              <w:top w:w="80" w:type="dxa"/>
              <w:bottom w:w="80" w:type="dxa"/>
              <w:left w:w="120" w:type="dxa"/>
              <w:right w:w="120" w:type="dxa"/>
            </w:tcMar>
          </w:tcPr>
          <w:p>
            <w:pPr>
              <w:spacing w:before="20" w:after="20"/>
              <w:jc w:val="left"/>
            </w:pPr>
            <w:r>
              <w:rPr>
                <w:rFonts w:ascii="Calibri" w:hAnsi="Calibri"/>
                <w:color w:val="1E293B"/>
                <w:sz w:val="18"/>
              </w:rPr>
              <w:t>http://localhost:5000 (Node.js + Express REST API + Background Cron)</w:t>
            </w:r>
          </w:p>
        </w:tc>
      </w:tr>
      <w:tr>
        <w:tc>
          <w:tcPr>
            <w:tcW w:type="dxa" w:w="2520"/>
            <w:shd w:fill="FFFFFF"/>
            <w:tcMar>
              <w:top w:w="80" w:type="dxa"/>
              <w:bottom w:w="80" w:type="dxa"/>
              <w:left w:w="120" w:type="dxa"/>
              <w:right w:w="120" w:type="dxa"/>
            </w:tcMar>
          </w:tcPr>
          <w:p>
            <w:pPr>
              <w:spacing w:before="20" w:after="20"/>
              <w:jc w:val="left"/>
            </w:pPr>
            <w:r>
              <w:rPr>
                <w:rFonts w:ascii="Calibri" w:hAnsi="Calibri"/>
                <w:color w:val="1E293B"/>
                <w:sz w:val="18"/>
              </w:rPr>
              <w:t>Database Architecture</w:t>
            </w:r>
          </w:p>
        </w:tc>
        <w:tc>
          <w:tcPr>
            <w:tcW w:type="dxa" w:w="7560"/>
            <w:shd w:fill="FFFFFF"/>
            <w:tcMar>
              <w:top w:w="80" w:type="dxa"/>
              <w:bottom w:w="80" w:type="dxa"/>
              <w:left w:w="120" w:type="dxa"/>
              <w:right w:w="120" w:type="dxa"/>
            </w:tcMar>
          </w:tcPr>
          <w:p>
            <w:pPr>
              <w:spacing w:before="20" w:after="20"/>
              <w:jc w:val="left"/>
            </w:pPr>
            <w:r>
              <w:rPr>
                <w:rFonts w:ascii="Calibri" w:hAnsi="Calibri"/>
                <w:color w:val="1E293B"/>
                <w:sz w:val="18"/>
              </w:rPr>
              <w:t>Dual-Engine: Zero-Config SQLite (Embedded) + Enterprise MySQL 8.0</w:t>
            </w:r>
          </w:p>
        </w:tc>
      </w:tr>
      <w:tr>
        <w:tc>
          <w:tcPr>
            <w:tcW w:type="dxa" w:w="2520"/>
            <w:shd w:fill="F8FAFC"/>
            <w:tcMar>
              <w:top w:w="80" w:type="dxa"/>
              <w:bottom w:w="80" w:type="dxa"/>
              <w:left w:w="120" w:type="dxa"/>
              <w:right w:w="120" w:type="dxa"/>
            </w:tcMar>
          </w:tcPr>
          <w:p>
            <w:pPr>
              <w:spacing w:before="20" w:after="20"/>
              <w:jc w:val="left"/>
            </w:pPr>
            <w:r>
              <w:rPr>
                <w:rFonts w:ascii="Calibri" w:hAnsi="Calibri"/>
                <w:color w:val="1E293B"/>
                <w:sz w:val="18"/>
              </w:rPr>
              <w:t>Date of Generation</w:t>
            </w:r>
          </w:p>
        </w:tc>
        <w:tc>
          <w:tcPr>
            <w:tcW w:type="dxa" w:w="7560"/>
            <w:shd w:fill="F8FAFC"/>
            <w:tcMar>
              <w:top w:w="80" w:type="dxa"/>
              <w:bottom w:w="80" w:type="dxa"/>
              <w:left w:w="120" w:type="dxa"/>
              <w:right w:w="120" w:type="dxa"/>
            </w:tcMar>
          </w:tcPr>
          <w:p>
            <w:pPr>
              <w:spacing w:before="20" w:after="20"/>
              <w:jc w:val="left"/>
            </w:pPr>
            <w:r>
              <w:rPr>
                <w:rFonts w:ascii="Calibri" w:hAnsi="Calibri"/>
                <w:color w:val="1E293B"/>
                <w:sz w:val="18"/>
              </w:rPr>
              <w:t>October 2026 | Technical Architecture Review</w:t>
            </w:r>
          </w:p>
        </w:tc>
      </w:tr>
    </w:tbl>
    <w:p>
      <w:pPr>
        <w:spacing w:before="0" w:after="120"/>
      </w:pPr>
    </w:p>
    <w:p>
      <w:pPr>
        <w:keepNext/>
        <w:spacing w:before="360" w:after="120"/>
      </w:pPr>
      <w:r>
        <w:rPr>
          <w:rFonts w:ascii="Calibri" w:hAnsi="Calibri"/>
          <w:b/>
          <w:color w:val="0A2540"/>
          <w:sz w:val="32"/>
        </w:rPr>
        <w:t>1. Executive Summary &amp; Problem Context</w:t>
      </w:r>
    </w:p>
    <w:tbl>
      <w:tblPr>
        <w:tblW w:type="auto" w:w="0"/>
        <w:jc w:val="left"/>
        <w:tblLayout w:type="fixed"/>
        <w:tblLook w:firstColumn="1" w:firstRow="1" w:lastColumn="0" w:lastRow="0" w:noHBand="0" w:noVBand="1" w:val="04A0"/>
      </w:tblPr>
      <w:tblGrid>
        <w:gridCol w:w="10080"/>
      </w:tblGrid>
      <w:tr>
        <w:tc>
          <w:tcPr>
            <w:tcW w:type="dxa" w:w="10080"/>
            <w:shd w:fill="0284C7"/>
            <w:tcMar>
              <w:top w:w="10" w:type="dxa"/>
              <w:bottom w:w="10" w:type="dxa"/>
              <w:left w:w="0" w:type="dxa"/>
              <w:right w:w="0" w:type="dxa"/>
            </w:tcMar>
          </w:tcPr>
          <w:p>
            <w:pPr>
              <w:spacing w:before="0" w:after="0"/>
            </w:pPr>
            <w:r>
              <w:rPr>
                <w:sz w:val="2"/>
              </w:rPr>
            </w:r>
          </w:p>
        </w:tc>
      </w:tr>
    </w:tbl>
    <w:p>
      <w:pPr>
        <w:spacing w:before="0" w:after="80"/>
      </w:pPr>
    </w:p>
    <w:p>
      <w:pPr>
        <w:spacing w:before="0" w:after="80" w:line="276" w:lineRule="auto"/>
      </w:pPr>
      <w:r>
        <w:rPr>
          <w:rFonts w:ascii="Calibri" w:hAnsi="Calibri"/>
          <w:color w:val="1E293B"/>
          <w:sz w:val="20"/>
        </w:rPr>
        <w:t>Under prevailing AICTE statutory norms, thousands of engineering and technical institutions across India are mandatorily required to pledge substantial financial security deposits (typically ranging from ₹25 Lakhs to ₹1 Crore+ per institute) in the form of Fixed Deposit Receipts (FDRs) jointly held with AICTE. These deposits safeguard academic infrastructure, student interests, and faculty commitments.</w:t>
      </w:r>
    </w:p>
    <w:p>
      <w:pPr>
        <w:spacing w:before="0" w:after="80" w:line="276" w:lineRule="auto"/>
      </w:pPr>
      <w:r>
        <w:rPr>
          <w:rFonts w:ascii="Calibri" w:hAnsi="Calibri"/>
          <w:color w:val="1E293B"/>
          <w:sz w:val="20"/>
        </w:rPr>
        <w:t>Traditionally, the management, renewal, tracking, and encashment/release of these high-value instruments has suffered from acute operational bottlenecks:</w:t>
      </w:r>
    </w:p>
    <w:p>
      <w:pPr>
        <w:pStyle w:val="ListBullet"/>
        <w:spacing w:before="0" w:after="60" w:line="276" w:lineRule="auto"/>
      </w:pPr>
      <w:r>
        <w:rPr>
          <w:rFonts w:ascii="Calibri" w:hAnsi="Calibri"/>
          <w:b/>
          <w:color w:val="0A2540"/>
          <w:sz w:val="20"/>
        </w:rPr>
        <w:t xml:space="preserve">Manual Verification &amp; Paper Vulnerability: </w:t>
      </w:r>
      <w:r>
        <w:rPr>
          <w:rFonts w:ascii="Calibri" w:hAnsi="Calibri"/>
          <w:color w:val="1E293B"/>
          <w:sz w:val="20"/>
        </w:rPr>
        <w:t xml:space="preserve"> Institutes submit paper FDR certificates by post or couriers, leading to physical wear, misplacement risks, and lengthy manual record-keeping in decentralized spreadsheets.</w:t>
      </w:r>
    </w:p>
    <w:p>
      <w:pPr>
        <w:pStyle w:val="ListBullet"/>
        <w:spacing w:before="0" w:after="60" w:line="276" w:lineRule="auto"/>
      </w:pPr>
      <w:r>
        <w:rPr>
          <w:rFonts w:ascii="Calibri" w:hAnsi="Calibri"/>
          <w:b/>
          <w:color w:val="0A2540"/>
          <w:sz w:val="20"/>
        </w:rPr>
        <w:t xml:space="preserve">Maturity Oversight &amp; Revenue Leakage: </w:t>
      </w:r>
      <w:r>
        <w:rPr>
          <w:rFonts w:ascii="Calibri" w:hAnsi="Calibri"/>
          <w:color w:val="1E293B"/>
          <w:sz w:val="20"/>
        </w:rPr>
        <w:t xml:space="preserve"> Institutions and regulatory authorities regularly miss the 90-day/30-day renewal windows, causing FDRs to involuntarily enter low-interest auto-renewal or lapse into dormant accounts.</w:t>
      </w:r>
    </w:p>
    <w:p>
      <w:pPr>
        <w:pStyle w:val="ListBullet"/>
        <w:spacing w:before="0" w:after="60" w:line="276" w:lineRule="auto"/>
      </w:pPr>
      <w:r>
        <w:rPr>
          <w:rFonts w:ascii="Calibri" w:hAnsi="Calibri"/>
          <w:b/>
          <w:color w:val="0A2540"/>
          <w:sz w:val="20"/>
        </w:rPr>
        <w:t xml:space="preserve">Opacity &amp; Lack of Real-Time Analytics: </w:t>
      </w:r>
      <w:r>
        <w:rPr>
          <w:rFonts w:ascii="Calibri" w:hAnsi="Calibri"/>
          <w:color w:val="1E293B"/>
          <w:sz w:val="20"/>
        </w:rPr>
        <w:t xml:space="preserve"> In manual workflows, regulatory officers lack a centralized real-time dashboard of total pledged security deposits, verification backlogs, or bank-wise distributions across states.</w:t>
      </w:r>
    </w:p>
    <w:p>
      <w:pPr>
        <w:pStyle w:val="ListBullet"/>
        <w:spacing w:before="0" w:after="60" w:line="276" w:lineRule="auto"/>
      </w:pPr>
      <w:r>
        <w:rPr>
          <w:rFonts w:ascii="Calibri" w:hAnsi="Calibri"/>
          <w:b/>
          <w:color w:val="0A2540"/>
          <w:sz w:val="20"/>
        </w:rPr>
        <w:t xml:space="preserve">Absence of Compliance Audit Trails: </w:t>
      </w:r>
      <w:r>
        <w:rPr>
          <w:rFonts w:ascii="Calibri" w:hAnsi="Calibri"/>
          <w:color w:val="1E293B"/>
          <w:sz w:val="20"/>
        </w:rPr>
        <w:t xml:space="preserve"> There was no cryptographically signed, immutable record of which officer approved an FDR, who requested a release, or when verification was completed.</w:t>
      </w:r>
    </w:p>
    <w:tbl>
      <w:tblPr>
        <w:tblW w:type="auto" w:w="0"/>
        <w:jc w:val="center"/>
        <w:tblLayout w:type="fixed"/>
        <w:tblLook w:firstColumn="1" w:firstRow="1" w:lastColumn="0" w:lastRow="0" w:noHBand="0" w:noVBand="1" w:val="04A0"/>
      </w:tblPr>
      <w:tblGrid>
        <w:gridCol w:w="10080"/>
      </w:tblGrid>
      <w:tr>
        <w:tc>
          <w:tcPr>
            <w:tcW w:type="dxa" w:w="10080"/>
            <w:shd w:fill="F0F9FF"/>
            <w:tcMar>
              <w:top w:w="120" w:type="dxa"/>
              <w:bottom w:w="120" w:type="dxa"/>
              <w:left w:w="180" w:type="dxa"/>
              <w:right w:w="180" w:type="dxa"/>
            </w:tcMar>
            <w:tcBorders>
              <w:top w:val="none"/>
              <w:left w:val="single" w:sz="24" w:space="0" w:color="0284C7"/>
              <w:bottom w:val="none"/>
              <w:right w:val="none"/>
            </w:tcBorders>
          </w:tcPr>
          <w:p>
            <w:pPr>
              <w:spacing w:before="40" w:after="40"/>
            </w:pPr>
            <w:r>
              <w:rPr>
                <w:rFonts w:ascii="Calibri" w:hAnsi="Calibri"/>
                <w:b/>
                <w:color w:val="0284C7"/>
                <w:sz w:val="20"/>
              </w:rPr>
              <w:t xml:space="preserve">📌 THE FDRFLOW TRANSFORMATION: </w:t>
            </w:r>
            <w:r>
              <w:rPr>
                <w:rFonts w:ascii="Calibri" w:hAnsi="Calibri"/>
                <w:color w:val="1E293B"/>
                <w:sz w:val="19"/>
              </w:rPr>
              <w:t>FDRFlow completely eliminates these friction points by establishing an automated, unified, role-governed digital ecosystem where institutions submit FDRs electronically with proof documents, AICTE officers systematically verify instruments against banking standards, background daemons trigger proactive multi-tier maturity notifications, and all state transitions are immutably logged into an auditable ledger.</w:t>
            </w:r>
          </w:p>
        </w:tc>
      </w:tr>
    </w:tbl>
    <w:p>
      <w:pPr>
        <w:spacing w:before="0" w:after="120"/>
      </w:pPr>
    </w:p>
    <w:p>
      <w:pPr>
        <w:keepNext/>
        <w:spacing w:before="360" w:after="120"/>
      </w:pPr>
      <w:r>
        <w:rPr>
          <w:rFonts w:ascii="Calibri" w:hAnsi="Calibri"/>
          <w:b/>
          <w:color w:val="0A2540"/>
          <w:sz w:val="32"/>
        </w:rPr>
        <w:t>2. System Architecture &amp; Tech Stack Matrix</w:t>
      </w:r>
    </w:p>
    <w:tbl>
      <w:tblPr>
        <w:tblW w:type="auto" w:w="0"/>
        <w:jc w:val="left"/>
        <w:tblLayout w:type="fixed"/>
        <w:tblLook w:firstColumn="1" w:firstRow="1" w:lastColumn="0" w:lastRow="0" w:noHBand="0" w:noVBand="1" w:val="04A0"/>
      </w:tblPr>
      <w:tblGrid>
        <w:gridCol w:w="10080"/>
      </w:tblGrid>
      <w:tr>
        <w:tc>
          <w:tcPr>
            <w:tcW w:type="dxa" w:w="10080"/>
            <w:shd w:fill="0284C7"/>
            <w:tcMar>
              <w:top w:w="10" w:type="dxa"/>
              <w:bottom w:w="10" w:type="dxa"/>
              <w:left w:w="0" w:type="dxa"/>
              <w:right w:w="0" w:type="dxa"/>
            </w:tcMar>
          </w:tcPr>
          <w:p>
            <w:pPr>
              <w:spacing w:before="0" w:after="0"/>
            </w:pPr>
            <w:r>
              <w:rPr>
                <w:sz w:val="2"/>
              </w:rPr>
            </w:r>
          </w:p>
        </w:tc>
      </w:tr>
    </w:tbl>
    <w:p>
      <w:pPr>
        <w:spacing w:before="0" w:after="80"/>
      </w:pPr>
    </w:p>
    <w:p>
      <w:pPr>
        <w:spacing w:before="0" w:after="80" w:line="276" w:lineRule="auto"/>
      </w:pPr>
      <w:r>
        <w:rPr>
          <w:rFonts w:ascii="Calibri" w:hAnsi="Calibri"/>
          <w:color w:val="1E293B"/>
          <w:sz w:val="20"/>
        </w:rPr>
        <w:t>FDRFlow follows an enterprise-grade, clean three-tier architecture with separation of concerns across the presentation layer, RESTful service layer, and persistence/daemon tier.</w:t>
      </w:r>
    </w:p>
    <w:p>
      <w:pPr>
        <w:keepNext/>
        <w:spacing w:before="240" w:after="80"/>
      </w:pPr>
      <w:r>
        <w:rPr>
          <w:rFonts w:ascii="Calibri" w:hAnsi="Calibri"/>
          <w:b/>
          <w:color w:val="1E3A8A"/>
          <w:sz w:val="25"/>
        </w:rPr>
        <w:t>2.1 Architectural Components</w:t>
      </w:r>
    </w:p>
    <w:p>
      <w:pPr>
        <w:pStyle w:val="ListBullet"/>
        <w:spacing w:before="0" w:after="60" w:line="276" w:lineRule="auto"/>
      </w:pPr>
      <w:r>
        <w:rPr>
          <w:rFonts w:ascii="Calibri" w:hAnsi="Calibri"/>
          <w:b/>
          <w:color w:val="0A2540"/>
          <w:sz w:val="20"/>
        </w:rPr>
        <w:t xml:space="preserve">Presentation Tier (Client): </w:t>
      </w:r>
      <w:r>
        <w:rPr>
          <w:rFonts w:ascii="Calibri" w:hAnsi="Calibri"/>
          <w:color w:val="1E293B"/>
          <w:sz w:val="20"/>
        </w:rPr>
        <w:t xml:space="preserve"> Single Page Application (SPA) providing sub-millisecond route transitions, glassmorphic dark-mode dashboards, interactive lifecycle state machines, tabular filters, and dynamic forms with hot toasts.</w:t>
      </w:r>
    </w:p>
    <w:p>
      <w:pPr>
        <w:pStyle w:val="ListBullet"/>
        <w:spacing w:before="0" w:after="60" w:line="276" w:lineRule="auto"/>
      </w:pPr>
      <w:r>
        <w:rPr>
          <w:rFonts w:ascii="Calibri" w:hAnsi="Calibri"/>
          <w:b/>
          <w:color w:val="0A2540"/>
          <w:sz w:val="20"/>
        </w:rPr>
        <w:t xml:space="preserve">API &amp; Business Logic Tier: </w:t>
      </w:r>
      <w:r>
        <w:rPr>
          <w:rFonts w:ascii="Calibri" w:hAnsi="Calibri"/>
          <w:color w:val="1E293B"/>
          <w:sz w:val="20"/>
        </w:rPr>
        <w:t xml:space="preserve"> Express.js REST application hosting JWT token authenticators, RBAC policy enforcement interceptors, Multer file upload storage, and controller business logic.</w:t>
      </w:r>
    </w:p>
    <w:p>
      <w:pPr>
        <w:pStyle w:val="ListBullet"/>
        <w:spacing w:before="0" w:after="60" w:line="276" w:lineRule="auto"/>
      </w:pPr>
      <w:r>
        <w:rPr>
          <w:rFonts w:ascii="Calibri" w:hAnsi="Calibri"/>
          <w:b/>
          <w:color w:val="0A2540"/>
          <w:sz w:val="20"/>
        </w:rPr>
        <w:t xml:space="preserve">Data Persistence Tier: </w:t>
      </w:r>
      <w:r>
        <w:rPr>
          <w:rFonts w:ascii="Calibri" w:hAnsi="Calibri"/>
          <w:color w:val="1E293B"/>
          <w:sz w:val="20"/>
        </w:rPr>
        <w:t xml:space="preserve"> Object-Relational Mapping (ORM) layer featuring a dual-dialect engine (instant zero-config SQLite for local evaluation and rapid evaluation, plus high-throughput MySQL for production deployments).</w:t>
      </w:r>
    </w:p>
    <w:p>
      <w:pPr>
        <w:pStyle w:val="ListBullet"/>
        <w:spacing w:before="0" w:after="60" w:line="276" w:lineRule="auto"/>
      </w:pPr>
      <w:r>
        <w:rPr>
          <w:rFonts w:ascii="Calibri" w:hAnsi="Calibri"/>
          <w:b/>
          <w:color w:val="0A2540"/>
          <w:sz w:val="20"/>
        </w:rPr>
        <w:t xml:space="preserve">Asynchronous Alert Engine: </w:t>
      </w:r>
      <w:r>
        <w:rPr>
          <w:rFonts w:ascii="Calibri" w:hAnsi="Calibri"/>
          <w:color w:val="1E293B"/>
          <w:sz w:val="20"/>
        </w:rPr>
        <w:t xml:space="preserve"> Embedded node-cron daemon running scheduled daily sweeps to calculate maturity thresholds (90, 30, and 7 days) and dispatch alerts.</w:t>
      </w:r>
    </w:p>
    <w:p>
      <w:pPr>
        <w:keepNext/>
        <w:spacing w:before="240" w:after="80"/>
      </w:pPr>
      <w:r>
        <w:rPr>
          <w:rFonts w:ascii="Calibri" w:hAnsi="Calibri"/>
          <w:b/>
          <w:color w:val="1E3A8A"/>
          <w:sz w:val="25"/>
        </w:rPr>
        <w:t>2.2 Technology Stack Breakdown</w:t>
      </w:r>
    </w:p>
    <w:tbl>
      <w:tblPr>
        <w:tblW w:type="auto" w:w="0"/>
        <w:jc w:val="center"/>
        <w:tblLayout w:type="fixed"/>
        <w:tblLook w:firstColumn="1" w:firstRow="1" w:lastColumn="0" w:lastRow="0" w:noHBand="0" w:noVBand="1" w:val="04A0"/>
        <w:tblBorders>
          <w:top w:val="single" w:sz="4" w:space="0" w:color="CBD5E1"/>
          <w:left w:val="none"/>
          <w:bottom w:val="single" w:sz="8" w:space="0" w:color="0A2540"/>
          <w:right w:val="none"/>
          <w:insideH w:val="single" w:sz="4" w:space="0" w:color="E2E8F0"/>
          <w:insideV w:val="none"/>
        </w:tblBorders>
      </w:tblPr>
      <w:tblGrid>
        <w:gridCol w:w="3360"/>
        <w:gridCol w:w="3360"/>
        <w:gridCol w:w="3360"/>
      </w:tblGrid>
      <w:tr>
        <w:tc>
          <w:tcPr>
            <w:tcW w:type="dxa" w:w="2160"/>
            <w:shd w:fill="0A2540"/>
            <w:tcMar>
              <w:top w:w="100" w:type="dxa"/>
              <w:bottom w:w="100" w:type="dxa"/>
              <w:left w:w="120" w:type="dxa"/>
              <w:right w:w="120" w:type="dxa"/>
            </w:tcMar>
          </w:tcPr>
          <w:p>
            <w:pPr>
              <w:spacing w:before="40" w:after="40"/>
              <w:jc w:val="left"/>
            </w:pPr>
            <w:r>
              <w:rPr>
                <w:rFonts w:ascii="Calibri" w:hAnsi="Calibri"/>
                <w:b/>
                <w:color w:val="FFFFFF"/>
                <w:sz w:val="19"/>
              </w:rPr>
              <w:t>Layer</w:t>
            </w:r>
          </w:p>
        </w:tc>
        <w:tc>
          <w:tcPr>
            <w:tcW w:type="dxa" w:w="2592"/>
            <w:shd w:fill="0A2540"/>
            <w:tcMar>
              <w:top w:w="100" w:type="dxa"/>
              <w:bottom w:w="100" w:type="dxa"/>
              <w:left w:w="120" w:type="dxa"/>
              <w:right w:w="120" w:type="dxa"/>
            </w:tcMar>
          </w:tcPr>
          <w:p>
            <w:pPr>
              <w:spacing w:before="40" w:after="40"/>
              <w:jc w:val="left"/>
            </w:pPr>
            <w:r>
              <w:rPr>
                <w:rFonts w:ascii="Calibri" w:hAnsi="Calibri"/>
                <w:b/>
                <w:color w:val="FFFFFF"/>
                <w:sz w:val="19"/>
              </w:rPr>
              <w:t>Technology Selected</w:t>
            </w:r>
          </w:p>
        </w:tc>
        <w:tc>
          <w:tcPr>
            <w:tcW w:type="dxa" w:w="5328"/>
            <w:shd w:fill="0A2540"/>
            <w:tcMar>
              <w:top w:w="100" w:type="dxa"/>
              <w:bottom w:w="100" w:type="dxa"/>
              <w:left w:w="120" w:type="dxa"/>
              <w:right w:w="120" w:type="dxa"/>
            </w:tcMar>
          </w:tcPr>
          <w:p>
            <w:pPr>
              <w:spacing w:before="40" w:after="40"/>
              <w:jc w:val="left"/>
            </w:pPr>
            <w:r>
              <w:rPr>
                <w:rFonts w:ascii="Calibri" w:hAnsi="Calibri"/>
                <w:b/>
                <w:color w:val="FFFFFF"/>
                <w:sz w:val="19"/>
              </w:rPr>
              <w:t>Architectural Justification &amp; Role</w:t>
            </w:r>
          </w:p>
        </w:tc>
      </w:tr>
      <w:tr>
        <w:tc>
          <w:tcPr>
            <w:tcW w:type="dxa" w:w="2160"/>
            <w:shd w:fill="FFFFFF"/>
            <w:tcMar>
              <w:top w:w="80" w:type="dxa"/>
              <w:bottom w:w="80" w:type="dxa"/>
              <w:left w:w="120" w:type="dxa"/>
              <w:right w:w="120" w:type="dxa"/>
            </w:tcMar>
          </w:tcPr>
          <w:p>
            <w:pPr>
              <w:spacing w:before="20" w:after="20"/>
              <w:jc w:val="left"/>
            </w:pPr>
            <w:r>
              <w:rPr>
                <w:rFonts w:ascii="Calibri" w:hAnsi="Calibri"/>
                <w:color w:val="1E293B"/>
                <w:sz w:val="18"/>
              </w:rPr>
              <w:t>Frontend Core</w:t>
            </w:r>
          </w:p>
        </w:tc>
        <w:tc>
          <w:tcPr>
            <w:tcW w:type="dxa" w:w="2592"/>
            <w:shd w:fill="FFFFFF"/>
            <w:tcMar>
              <w:top w:w="80" w:type="dxa"/>
              <w:bottom w:w="80" w:type="dxa"/>
              <w:left w:w="120" w:type="dxa"/>
              <w:right w:w="120" w:type="dxa"/>
            </w:tcMar>
          </w:tcPr>
          <w:p>
            <w:pPr>
              <w:spacing w:before="20" w:after="20"/>
              <w:jc w:val="left"/>
            </w:pPr>
            <w:r>
              <w:rPr>
                <w:rFonts w:ascii="Calibri" w:hAnsi="Calibri"/>
                <w:color w:val="1E293B"/>
                <w:sz w:val="18"/>
              </w:rPr>
              <w:t>React 18 + Vite SPA</w:t>
            </w:r>
          </w:p>
        </w:tc>
        <w:tc>
          <w:tcPr>
            <w:tcW w:type="dxa" w:w="5328"/>
            <w:shd w:fill="FFFFFF"/>
            <w:tcMar>
              <w:top w:w="80" w:type="dxa"/>
              <w:bottom w:w="80" w:type="dxa"/>
              <w:left w:w="120" w:type="dxa"/>
              <w:right w:w="120" w:type="dxa"/>
            </w:tcMar>
          </w:tcPr>
          <w:p>
            <w:pPr>
              <w:spacing w:before="20" w:after="20"/>
              <w:jc w:val="left"/>
            </w:pPr>
            <w:r>
              <w:rPr>
                <w:rFonts w:ascii="Calibri" w:hAnsi="Calibri"/>
                <w:color w:val="1E293B"/>
                <w:sz w:val="18"/>
              </w:rPr>
              <w:t>Lightning-fast HMR build, declarative component model, clean state management with AuthContext.</w:t>
            </w:r>
          </w:p>
        </w:tc>
      </w:tr>
      <w:tr>
        <w:tc>
          <w:tcPr>
            <w:tcW w:type="dxa" w:w="2160"/>
            <w:shd w:fill="F8FAFC"/>
            <w:tcMar>
              <w:top w:w="80" w:type="dxa"/>
              <w:bottom w:w="80" w:type="dxa"/>
              <w:left w:w="120" w:type="dxa"/>
              <w:right w:w="120" w:type="dxa"/>
            </w:tcMar>
          </w:tcPr>
          <w:p>
            <w:pPr>
              <w:spacing w:before="20" w:after="20"/>
              <w:jc w:val="left"/>
            </w:pPr>
            <w:r>
              <w:rPr>
                <w:rFonts w:ascii="Calibri" w:hAnsi="Calibri"/>
                <w:color w:val="1E293B"/>
                <w:sz w:val="18"/>
              </w:rPr>
              <w:t>Styling System</w:t>
            </w:r>
          </w:p>
        </w:tc>
        <w:tc>
          <w:tcPr>
            <w:tcW w:type="dxa" w:w="2592"/>
            <w:shd w:fill="F8FAFC"/>
            <w:tcMar>
              <w:top w:w="80" w:type="dxa"/>
              <w:bottom w:w="80" w:type="dxa"/>
              <w:left w:w="120" w:type="dxa"/>
              <w:right w:w="120" w:type="dxa"/>
            </w:tcMar>
          </w:tcPr>
          <w:p>
            <w:pPr>
              <w:spacing w:before="20" w:after="20"/>
              <w:jc w:val="left"/>
            </w:pPr>
            <w:r>
              <w:rPr>
                <w:rFonts w:ascii="Calibri" w:hAnsi="Calibri"/>
                <w:color w:val="1E293B"/>
                <w:sz w:val="18"/>
              </w:rPr>
              <w:t>Vanilla CSS Design Tokens</w:t>
            </w:r>
          </w:p>
        </w:tc>
        <w:tc>
          <w:tcPr>
            <w:tcW w:type="dxa" w:w="5328"/>
            <w:shd w:fill="F8FAFC"/>
            <w:tcMar>
              <w:top w:w="80" w:type="dxa"/>
              <w:bottom w:w="80" w:type="dxa"/>
              <w:left w:w="120" w:type="dxa"/>
              <w:right w:w="120" w:type="dxa"/>
            </w:tcMar>
          </w:tcPr>
          <w:p>
            <w:pPr>
              <w:spacing w:before="20" w:after="20"/>
              <w:jc w:val="left"/>
            </w:pPr>
            <w:r>
              <w:rPr>
                <w:rFonts w:ascii="Calibri" w:hAnsi="Calibri"/>
                <w:color w:val="1E293B"/>
                <w:sz w:val="18"/>
              </w:rPr>
              <w:t>Zero-dependency CSS custom properties, responsive layout, glassmorphic cards, custom accessibility.</w:t>
            </w:r>
          </w:p>
        </w:tc>
      </w:tr>
      <w:tr>
        <w:tc>
          <w:tcPr>
            <w:tcW w:type="dxa" w:w="2160"/>
            <w:shd w:fill="FFFFFF"/>
            <w:tcMar>
              <w:top w:w="80" w:type="dxa"/>
              <w:bottom w:w="80" w:type="dxa"/>
              <w:left w:w="120" w:type="dxa"/>
              <w:right w:w="120" w:type="dxa"/>
            </w:tcMar>
          </w:tcPr>
          <w:p>
            <w:pPr>
              <w:spacing w:before="20" w:after="20"/>
              <w:jc w:val="left"/>
            </w:pPr>
            <w:r>
              <w:rPr>
                <w:rFonts w:ascii="Calibri" w:hAnsi="Calibri"/>
                <w:color w:val="1E293B"/>
                <w:sz w:val="18"/>
              </w:rPr>
              <w:t>Iconography &amp; UI</w:t>
            </w:r>
          </w:p>
        </w:tc>
        <w:tc>
          <w:tcPr>
            <w:tcW w:type="dxa" w:w="2592"/>
            <w:shd w:fill="FFFFFF"/>
            <w:tcMar>
              <w:top w:w="80" w:type="dxa"/>
              <w:bottom w:w="80" w:type="dxa"/>
              <w:left w:w="120" w:type="dxa"/>
              <w:right w:w="120" w:type="dxa"/>
            </w:tcMar>
          </w:tcPr>
          <w:p>
            <w:pPr>
              <w:spacing w:before="20" w:after="20"/>
              <w:jc w:val="left"/>
            </w:pPr>
            <w:r>
              <w:rPr>
                <w:rFonts w:ascii="Calibri" w:hAnsi="Calibri"/>
                <w:color w:val="1E293B"/>
                <w:sz w:val="18"/>
              </w:rPr>
              <w:t>Lucide React + Hot Toast</w:t>
            </w:r>
          </w:p>
        </w:tc>
        <w:tc>
          <w:tcPr>
            <w:tcW w:type="dxa" w:w="5328"/>
            <w:shd w:fill="FFFFFF"/>
            <w:tcMar>
              <w:top w:w="80" w:type="dxa"/>
              <w:bottom w:w="80" w:type="dxa"/>
              <w:left w:w="120" w:type="dxa"/>
              <w:right w:w="120" w:type="dxa"/>
            </w:tcMar>
          </w:tcPr>
          <w:p>
            <w:pPr>
              <w:spacing w:before="20" w:after="20"/>
              <w:jc w:val="left"/>
            </w:pPr>
            <w:r>
              <w:rPr>
                <w:rFonts w:ascii="Calibri" w:hAnsi="Calibri"/>
                <w:color w:val="1E293B"/>
                <w:sz w:val="18"/>
              </w:rPr>
              <w:t>Lightweight vector icons and non-blocking asynchronous floating feedback alerts.</w:t>
            </w:r>
          </w:p>
        </w:tc>
      </w:tr>
      <w:tr>
        <w:tc>
          <w:tcPr>
            <w:tcW w:type="dxa" w:w="2160"/>
            <w:shd w:fill="F8FAFC"/>
            <w:tcMar>
              <w:top w:w="80" w:type="dxa"/>
              <w:bottom w:w="80" w:type="dxa"/>
              <w:left w:w="120" w:type="dxa"/>
              <w:right w:w="120" w:type="dxa"/>
            </w:tcMar>
          </w:tcPr>
          <w:p>
            <w:pPr>
              <w:spacing w:before="20" w:after="20"/>
              <w:jc w:val="left"/>
            </w:pPr>
            <w:r>
              <w:rPr>
                <w:rFonts w:ascii="Calibri" w:hAnsi="Calibri"/>
                <w:color w:val="1E293B"/>
                <w:sz w:val="18"/>
              </w:rPr>
              <w:t>Backend Runtime</w:t>
            </w:r>
          </w:p>
        </w:tc>
        <w:tc>
          <w:tcPr>
            <w:tcW w:type="dxa" w:w="2592"/>
            <w:shd w:fill="F8FAFC"/>
            <w:tcMar>
              <w:top w:w="80" w:type="dxa"/>
              <w:bottom w:w="80" w:type="dxa"/>
              <w:left w:w="120" w:type="dxa"/>
              <w:right w:w="120" w:type="dxa"/>
            </w:tcMar>
          </w:tcPr>
          <w:p>
            <w:pPr>
              <w:spacing w:before="20" w:after="20"/>
              <w:jc w:val="left"/>
            </w:pPr>
            <w:r>
              <w:rPr>
                <w:rFonts w:ascii="Calibri" w:hAnsi="Calibri"/>
                <w:color w:val="1E293B"/>
                <w:sz w:val="18"/>
              </w:rPr>
              <w:t>Node.js (ES Modules) + Express</w:t>
            </w:r>
          </w:p>
        </w:tc>
        <w:tc>
          <w:tcPr>
            <w:tcW w:type="dxa" w:w="5328"/>
            <w:shd w:fill="F8FAFC"/>
            <w:tcMar>
              <w:top w:w="80" w:type="dxa"/>
              <w:bottom w:w="80" w:type="dxa"/>
              <w:left w:w="120" w:type="dxa"/>
              <w:right w:w="120" w:type="dxa"/>
            </w:tcMar>
          </w:tcPr>
          <w:p>
            <w:pPr>
              <w:spacing w:before="20" w:after="20"/>
              <w:jc w:val="left"/>
            </w:pPr>
            <w:r>
              <w:rPr>
                <w:rFonts w:ascii="Calibri" w:hAnsi="Calibri"/>
                <w:color w:val="1E293B"/>
                <w:sz w:val="18"/>
              </w:rPr>
              <w:t>Asynchronous non-blocking event-driven execution, clean middleware pipeline, scalable REST APIs.</w:t>
            </w:r>
          </w:p>
        </w:tc>
      </w:tr>
      <w:tr>
        <w:tc>
          <w:tcPr>
            <w:tcW w:type="dxa" w:w="2160"/>
            <w:shd w:fill="FFFFFF"/>
            <w:tcMar>
              <w:top w:w="80" w:type="dxa"/>
              <w:bottom w:w="80" w:type="dxa"/>
              <w:left w:w="120" w:type="dxa"/>
              <w:right w:w="120" w:type="dxa"/>
            </w:tcMar>
          </w:tcPr>
          <w:p>
            <w:pPr>
              <w:spacing w:before="20" w:after="20"/>
              <w:jc w:val="left"/>
            </w:pPr>
            <w:r>
              <w:rPr>
                <w:rFonts w:ascii="Calibri" w:hAnsi="Calibri"/>
                <w:color w:val="1E293B"/>
                <w:sz w:val="18"/>
              </w:rPr>
              <w:t>ORM &amp; Modeling</w:t>
            </w:r>
          </w:p>
        </w:tc>
        <w:tc>
          <w:tcPr>
            <w:tcW w:type="dxa" w:w="2592"/>
            <w:shd w:fill="FFFFFF"/>
            <w:tcMar>
              <w:top w:w="80" w:type="dxa"/>
              <w:bottom w:w="80" w:type="dxa"/>
              <w:left w:w="120" w:type="dxa"/>
              <w:right w:w="120" w:type="dxa"/>
            </w:tcMar>
          </w:tcPr>
          <w:p>
            <w:pPr>
              <w:spacing w:before="20" w:after="20"/>
              <w:jc w:val="left"/>
            </w:pPr>
            <w:r>
              <w:rPr>
                <w:rFonts w:ascii="Calibri" w:hAnsi="Calibri"/>
                <w:color w:val="1E293B"/>
                <w:sz w:val="18"/>
              </w:rPr>
              <w:t>Sequelize ORM v6</w:t>
            </w:r>
          </w:p>
        </w:tc>
        <w:tc>
          <w:tcPr>
            <w:tcW w:type="dxa" w:w="5328"/>
            <w:shd w:fill="FFFFFF"/>
            <w:tcMar>
              <w:top w:w="80" w:type="dxa"/>
              <w:bottom w:w="80" w:type="dxa"/>
              <w:left w:w="120" w:type="dxa"/>
              <w:right w:w="120" w:type="dxa"/>
            </w:tcMar>
          </w:tcPr>
          <w:p>
            <w:pPr>
              <w:spacing w:before="20" w:after="20"/>
              <w:jc w:val="left"/>
            </w:pPr>
            <w:r>
              <w:rPr>
                <w:rFonts w:ascii="Calibri" w:hAnsi="Calibri"/>
                <w:color w:val="1E293B"/>
                <w:sz w:val="18"/>
              </w:rPr>
              <w:t>Model-driven schema definitions, automatic association joins, parameterized SQL injections defense.</w:t>
            </w:r>
          </w:p>
        </w:tc>
      </w:tr>
      <w:tr>
        <w:tc>
          <w:tcPr>
            <w:tcW w:type="dxa" w:w="2160"/>
            <w:shd w:fill="F8FAFC"/>
            <w:tcMar>
              <w:top w:w="80" w:type="dxa"/>
              <w:bottom w:w="80" w:type="dxa"/>
              <w:left w:w="120" w:type="dxa"/>
              <w:right w:w="120" w:type="dxa"/>
            </w:tcMar>
          </w:tcPr>
          <w:p>
            <w:pPr>
              <w:spacing w:before="20" w:after="20"/>
              <w:jc w:val="left"/>
            </w:pPr>
            <w:r>
              <w:rPr>
                <w:rFonts w:ascii="Calibri" w:hAnsi="Calibri"/>
                <w:color w:val="1E293B"/>
                <w:sz w:val="18"/>
              </w:rPr>
              <w:t>Primary Database</w:t>
            </w:r>
          </w:p>
        </w:tc>
        <w:tc>
          <w:tcPr>
            <w:tcW w:type="dxa" w:w="2592"/>
            <w:shd w:fill="F8FAFC"/>
            <w:tcMar>
              <w:top w:w="80" w:type="dxa"/>
              <w:bottom w:w="80" w:type="dxa"/>
              <w:left w:w="120" w:type="dxa"/>
              <w:right w:w="120" w:type="dxa"/>
            </w:tcMar>
          </w:tcPr>
          <w:p>
            <w:pPr>
              <w:spacing w:before="20" w:after="20"/>
              <w:jc w:val="left"/>
            </w:pPr>
            <w:r>
              <w:rPr>
                <w:rFonts w:ascii="Calibri" w:hAnsi="Calibri"/>
                <w:color w:val="1E293B"/>
                <w:sz w:val="18"/>
              </w:rPr>
              <w:t>SQLite (Embedded Zero-Config)</w:t>
            </w:r>
          </w:p>
        </w:tc>
        <w:tc>
          <w:tcPr>
            <w:tcW w:type="dxa" w:w="5328"/>
            <w:shd w:fill="F8FAFC"/>
            <w:tcMar>
              <w:top w:w="80" w:type="dxa"/>
              <w:bottom w:w="80" w:type="dxa"/>
              <w:left w:w="120" w:type="dxa"/>
              <w:right w:w="120" w:type="dxa"/>
            </w:tcMar>
          </w:tcPr>
          <w:p>
            <w:pPr>
              <w:spacing w:before="20" w:after="20"/>
              <w:jc w:val="left"/>
            </w:pPr>
            <w:r>
              <w:rPr>
                <w:rFonts w:ascii="Calibri" w:hAnsi="Calibri"/>
                <w:color w:val="1E293B"/>
                <w:sz w:val="18"/>
              </w:rPr>
              <w:t>Delivers immediate plug-and-play local execution without installing external services.</w:t>
            </w:r>
          </w:p>
        </w:tc>
      </w:tr>
      <w:tr>
        <w:tc>
          <w:tcPr>
            <w:tcW w:type="dxa" w:w="2160"/>
            <w:shd w:fill="FFFFFF"/>
            <w:tcMar>
              <w:top w:w="80" w:type="dxa"/>
              <w:bottom w:w="80" w:type="dxa"/>
              <w:left w:w="120" w:type="dxa"/>
              <w:right w:w="120" w:type="dxa"/>
            </w:tcMar>
          </w:tcPr>
          <w:p>
            <w:pPr>
              <w:spacing w:before="20" w:after="20"/>
              <w:jc w:val="left"/>
            </w:pPr>
            <w:r>
              <w:rPr>
                <w:rFonts w:ascii="Calibri" w:hAnsi="Calibri"/>
                <w:color w:val="1E293B"/>
                <w:sz w:val="18"/>
              </w:rPr>
              <w:t>Production DB</w:t>
            </w:r>
          </w:p>
        </w:tc>
        <w:tc>
          <w:tcPr>
            <w:tcW w:type="dxa" w:w="2592"/>
            <w:shd w:fill="FFFFFF"/>
            <w:tcMar>
              <w:top w:w="80" w:type="dxa"/>
              <w:bottom w:w="80" w:type="dxa"/>
              <w:left w:w="120" w:type="dxa"/>
              <w:right w:w="120" w:type="dxa"/>
            </w:tcMar>
          </w:tcPr>
          <w:p>
            <w:pPr>
              <w:spacing w:before="20" w:after="20"/>
              <w:jc w:val="left"/>
            </w:pPr>
            <w:r>
              <w:rPr>
                <w:rFonts w:ascii="Calibri" w:hAnsi="Calibri"/>
                <w:color w:val="1E293B"/>
                <w:sz w:val="18"/>
              </w:rPr>
              <w:t>MySQL 8.0+</w:t>
            </w:r>
          </w:p>
        </w:tc>
        <w:tc>
          <w:tcPr>
            <w:tcW w:type="dxa" w:w="5328"/>
            <w:shd w:fill="FFFFFF"/>
            <w:tcMar>
              <w:top w:w="80" w:type="dxa"/>
              <w:bottom w:w="80" w:type="dxa"/>
              <w:left w:w="120" w:type="dxa"/>
              <w:right w:w="120" w:type="dxa"/>
            </w:tcMar>
          </w:tcPr>
          <w:p>
            <w:pPr>
              <w:spacing w:before="20" w:after="20"/>
              <w:jc w:val="left"/>
            </w:pPr>
            <w:r>
              <w:rPr>
                <w:rFonts w:ascii="Calibri" w:hAnsi="Calibri"/>
                <w:color w:val="1E293B"/>
                <w:sz w:val="18"/>
              </w:rPr>
              <w:t>Supports enterprise scaling, transactions, foreign key indexing, and strict ACID guarantees.</w:t>
            </w:r>
          </w:p>
        </w:tc>
      </w:tr>
      <w:tr>
        <w:tc>
          <w:tcPr>
            <w:tcW w:type="dxa" w:w="2160"/>
            <w:shd w:fill="F8FAFC"/>
            <w:tcMar>
              <w:top w:w="80" w:type="dxa"/>
              <w:bottom w:w="80" w:type="dxa"/>
              <w:left w:w="120" w:type="dxa"/>
              <w:right w:w="120" w:type="dxa"/>
            </w:tcMar>
          </w:tcPr>
          <w:p>
            <w:pPr>
              <w:spacing w:before="20" w:after="20"/>
              <w:jc w:val="left"/>
            </w:pPr>
            <w:r>
              <w:rPr>
                <w:rFonts w:ascii="Calibri" w:hAnsi="Calibri"/>
                <w:color w:val="1E293B"/>
                <w:sz w:val="18"/>
              </w:rPr>
              <w:t>Authentication</w:t>
            </w:r>
          </w:p>
        </w:tc>
        <w:tc>
          <w:tcPr>
            <w:tcW w:type="dxa" w:w="2592"/>
            <w:shd w:fill="F8FAFC"/>
            <w:tcMar>
              <w:top w:w="80" w:type="dxa"/>
              <w:bottom w:w="80" w:type="dxa"/>
              <w:left w:w="120" w:type="dxa"/>
              <w:right w:w="120" w:type="dxa"/>
            </w:tcMar>
          </w:tcPr>
          <w:p>
            <w:pPr>
              <w:spacing w:before="20" w:after="20"/>
              <w:jc w:val="left"/>
            </w:pPr>
            <w:r>
              <w:rPr>
                <w:rFonts w:ascii="Calibri" w:hAnsi="Calibri"/>
                <w:color w:val="1E293B"/>
                <w:sz w:val="18"/>
              </w:rPr>
              <w:t>JWT + Bcrypt.js (10 Rounds)</w:t>
            </w:r>
          </w:p>
        </w:tc>
        <w:tc>
          <w:tcPr>
            <w:tcW w:type="dxa" w:w="5328"/>
            <w:shd w:fill="F8FAFC"/>
            <w:tcMar>
              <w:top w:w="80" w:type="dxa"/>
              <w:bottom w:w="80" w:type="dxa"/>
              <w:left w:w="120" w:type="dxa"/>
              <w:right w:w="120" w:type="dxa"/>
            </w:tcMar>
          </w:tcPr>
          <w:p>
            <w:pPr>
              <w:spacing w:before="20" w:after="20"/>
              <w:jc w:val="left"/>
            </w:pPr>
            <w:r>
              <w:rPr>
                <w:rFonts w:ascii="Calibri" w:hAnsi="Calibri"/>
                <w:color w:val="1E293B"/>
                <w:sz w:val="18"/>
              </w:rPr>
              <w:t>Stateless bearer token exchange with salted cryptographic password hashing.</w:t>
            </w:r>
          </w:p>
        </w:tc>
      </w:tr>
      <w:tr>
        <w:tc>
          <w:tcPr>
            <w:tcW w:type="dxa" w:w="2160"/>
            <w:shd w:fill="FFFFFF"/>
            <w:tcMar>
              <w:top w:w="80" w:type="dxa"/>
              <w:bottom w:w="80" w:type="dxa"/>
              <w:left w:w="120" w:type="dxa"/>
              <w:right w:w="120" w:type="dxa"/>
            </w:tcMar>
          </w:tcPr>
          <w:p>
            <w:pPr>
              <w:spacing w:before="20" w:after="20"/>
              <w:jc w:val="left"/>
            </w:pPr>
            <w:r>
              <w:rPr>
                <w:rFonts w:ascii="Calibri" w:hAnsi="Calibri"/>
                <w:color w:val="1E293B"/>
                <w:sz w:val="18"/>
              </w:rPr>
              <w:t>File Storage</w:t>
            </w:r>
          </w:p>
        </w:tc>
        <w:tc>
          <w:tcPr>
            <w:tcW w:type="dxa" w:w="2592"/>
            <w:shd w:fill="FFFFFF"/>
            <w:tcMar>
              <w:top w:w="80" w:type="dxa"/>
              <w:bottom w:w="80" w:type="dxa"/>
              <w:left w:w="120" w:type="dxa"/>
              <w:right w:w="120" w:type="dxa"/>
            </w:tcMar>
          </w:tcPr>
          <w:p>
            <w:pPr>
              <w:spacing w:before="20" w:after="20"/>
              <w:jc w:val="left"/>
            </w:pPr>
            <w:r>
              <w:rPr>
                <w:rFonts w:ascii="Calibri" w:hAnsi="Calibri"/>
                <w:color w:val="1E293B"/>
                <w:sz w:val="18"/>
              </w:rPr>
              <w:t>Multer Multipart Engine</w:t>
            </w:r>
          </w:p>
        </w:tc>
        <w:tc>
          <w:tcPr>
            <w:tcW w:type="dxa" w:w="5328"/>
            <w:shd w:fill="FFFFFF"/>
            <w:tcMar>
              <w:top w:w="80" w:type="dxa"/>
              <w:bottom w:w="80" w:type="dxa"/>
              <w:left w:w="120" w:type="dxa"/>
              <w:right w:w="120" w:type="dxa"/>
            </w:tcMar>
          </w:tcPr>
          <w:p>
            <w:pPr>
              <w:spacing w:before="20" w:after="20"/>
              <w:jc w:val="left"/>
            </w:pPr>
            <w:r>
              <w:rPr>
                <w:rFonts w:ascii="Calibri" w:hAnsi="Calibri"/>
                <w:color w:val="1E293B"/>
                <w:sz w:val="18"/>
              </w:rPr>
              <w:t>Handles authenticated FDR certificate scans and PDF bank guarantee proofs safely.</w:t>
            </w:r>
          </w:p>
        </w:tc>
      </w:tr>
      <w:tr>
        <w:tc>
          <w:tcPr>
            <w:tcW w:type="dxa" w:w="2160"/>
            <w:shd w:fill="F8FAFC"/>
            <w:tcMar>
              <w:top w:w="80" w:type="dxa"/>
              <w:bottom w:w="80" w:type="dxa"/>
              <w:left w:w="120" w:type="dxa"/>
              <w:right w:w="120" w:type="dxa"/>
            </w:tcMar>
          </w:tcPr>
          <w:p>
            <w:pPr>
              <w:spacing w:before="20" w:after="20"/>
              <w:jc w:val="left"/>
            </w:pPr>
            <w:r>
              <w:rPr>
                <w:rFonts w:ascii="Calibri" w:hAnsi="Calibri"/>
                <w:color w:val="1E293B"/>
                <w:sz w:val="18"/>
              </w:rPr>
              <w:t>Background Cron</w:t>
            </w:r>
          </w:p>
        </w:tc>
        <w:tc>
          <w:tcPr>
            <w:tcW w:type="dxa" w:w="2592"/>
            <w:shd w:fill="F8FAFC"/>
            <w:tcMar>
              <w:top w:w="80" w:type="dxa"/>
              <w:bottom w:w="80" w:type="dxa"/>
              <w:left w:w="120" w:type="dxa"/>
              <w:right w:w="120" w:type="dxa"/>
            </w:tcMar>
          </w:tcPr>
          <w:p>
            <w:pPr>
              <w:spacing w:before="20" w:after="20"/>
              <w:jc w:val="left"/>
            </w:pPr>
            <w:r>
              <w:rPr>
                <w:rFonts w:ascii="Calibri" w:hAnsi="Calibri"/>
                <w:color w:val="1E293B"/>
                <w:sz w:val="18"/>
              </w:rPr>
              <w:t>node-cron Scheduler</w:t>
            </w:r>
          </w:p>
        </w:tc>
        <w:tc>
          <w:tcPr>
            <w:tcW w:type="dxa" w:w="5328"/>
            <w:shd w:fill="F8FAFC"/>
            <w:tcMar>
              <w:top w:w="80" w:type="dxa"/>
              <w:bottom w:w="80" w:type="dxa"/>
              <w:left w:w="120" w:type="dxa"/>
              <w:right w:w="120" w:type="dxa"/>
            </w:tcMar>
          </w:tcPr>
          <w:p>
            <w:pPr>
              <w:spacing w:before="20" w:after="20"/>
              <w:jc w:val="left"/>
            </w:pPr>
            <w:r>
              <w:rPr>
                <w:rFonts w:ascii="Calibri" w:hAnsi="Calibri"/>
                <w:color w:val="1E293B"/>
                <w:sz w:val="18"/>
              </w:rPr>
              <w:t>Automated daily checks evaluating FDR maturities and generating preemptive compliance alerts.</w:t>
            </w:r>
          </w:p>
        </w:tc>
      </w:tr>
    </w:tbl>
    <w:p>
      <w:pPr>
        <w:spacing w:before="0" w:after="120"/>
      </w:pPr>
    </w:p>
    <w:p>
      <w:pPr>
        <w:keepNext/>
        <w:spacing w:before="360" w:after="120"/>
      </w:pPr>
      <w:r>
        <w:rPr>
          <w:rFonts w:ascii="Calibri" w:hAnsi="Calibri"/>
          <w:b/>
          <w:color w:val="0A2540"/>
          <w:sz w:val="32"/>
        </w:rPr>
        <w:t>3. Features Implemented in the Live Prototype</w:t>
      </w:r>
    </w:p>
    <w:tbl>
      <w:tblPr>
        <w:tblW w:type="auto" w:w="0"/>
        <w:jc w:val="left"/>
        <w:tblLayout w:type="fixed"/>
        <w:tblLook w:firstColumn="1" w:firstRow="1" w:lastColumn="0" w:lastRow="0" w:noHBand="0" w:noVBand="1" w:val="04A0"/>
      </w:tblPr>
      <w:tblGrid>
        <w:gridCol w:w="10080"/>
      </w:tblGrid>
      <w:tr>
        <w:tc>
          <w:tcPr>
            <w:tcW w:type="dxa" w:w="10080"/>
            <w:shd w:fill="0284C7"/>
            <w:tcMar>
              <w:top w:w="10" w:type="dxa"/>
              <w:bottom w:w="10" w:type="dxa"/>
              <w:left w:w="0" w:type="dxa"/>
              <w:right w:w="0" w:type="dxa"/>
            </w:tcMar>
          </w:tcPr>
          <w:p>
            <w:pPr>
              <w:spacing w:before="0" w:after="0"/>
            </w:pPr>
            <w:r>
              <w:rPr>
                <w:sz w:val="2"/>
              </w:rPr>
            </w:r>
          </w:p>
        </w:tc>
      </w:tr>
    </w:tbl>
    <w:p>
      <w:pPr>
        <w:spacing w:before="0" w:after="80"/>
      </w:pPr>
    </w:p>
    <w:p>
      <w:pPr>
        <w:spacing w:before="0" w:after="80" w:line="276" w:lineRule="auto"/>
      </w:pPr>
      <w:r>
        <w:rPr>
          <w:rFonts w:ascii="Calibri" w:hAnsi="Calibri"/>
          <w:color w:val="1E293B"/>
          <w:sz w:val="20"/>
        </w:rPr>
        <w:t>The FDRFlow system implements the complete functional lifecycle envisioned by AICTE guidelines and the SIH Problem Statement:</w:t>
      </w:r>
    </w:p>
    <w:p>
      <w:pPr>
        <w:keepNext/>
        <w:spacing w:before="240" w:after="80"/>
      </w:pPr>
      <w:r>
        <w:rPr>
          <w:rFonts w:ascii="Calibri" w:hAnsi="Calibri"/>
          <w:b/>
          <w:color w:val="1E3A8A"/>
          <w:sz w:val="25"/>
        </w:rPr>
        <w:t>3.1 Role-Based Access Control (RBAC) &amp; Authentication</w:t>
      </w:r>
    </w:p>
    <w:p>
      <w:pPr>
        <w:pStyle w:val="ListBullet"/>
        <w:spacing w:before="0" w:after="60" w:line="276" w:lineRule="auto"/>
      </w:pPr>
      <w:r>
        <w:rPr>
          <w:rFonts w:ascii="Calibri" w:hAnsi="Calibri"/>
          <w:b/>
          <w:color w:val="0A2540"/>
          <w:sz w:val="20"/>
        </w:rPr>
        <w:t xml:space="preserve">AICTE Officer (Regulatory Admin): </w:t>
      </w:r>
      <w:r>
        <w:rPr>
          <w:rFonts w:ascii="Calibri" w:hAnsi="Calibri"/>
          <w:color w:val="1E293B"/>
          <w:sz w:val="20"/>
        </w:rPr>
        <w:t xml:space="preserve"> Complete authority to inspect all institutions, verify deposited FDRs, record official verification notes, advance workflow states, and authorize FDR renewals or fund releases.</w:t>
      </w:r>
    </w:p>
    <w:p>
      <w:pPr>
        <w:pStyle w:val="ListBullet"/>
        <w:spacing w:before="0" w:after="60" w:line="276" w:lineRule="auto"/>
      </w:pPr>
      <w:r>
        <w:rPr>
          <w:rFonts w:ascii="Calibri" w:hAnsi="Calibri"/>
          <w:b/>
          <w:color w:val="0A2540"/>
          <w:sz w:val="20"/>
        </w:rPr>
        <w:t xml:space="preserve">Institution Admin (Depositor): </w:t>
      </w:r>
      <w:r>
        <w:rPr>
          <w:rFonts w:ascii="Calibri" w:hAnsi="Calibri"/>
          <w:color w:val="1E293B"/>
          <w:sz w:val="20"/>
        </w:rPr>
        <w:t xml:space="preserve"> Dedicated view allowing institute authorized representatives (e.g. IIT Delhi, NIT Trichy, BITS Pilani) to register new FDR instruments, upload certificate copies, monitor status, and request timely renewals.</w:t>
      </w:r>
    </w:p>
    <w:p>
      <w:pPr>
        <w:pStyle w:val="ListBullet"/>
        <w:spacing w:before="0" w:after="60" w:line="276" w:lineRule="auto"/>
      </w:pPr>
      <w:r>
        <w:rPr>
          <w:rFonts w:ascii="Calibri" w:hAnsi="Calibri"/>
          <w:b/>
          <w:color w:val="0A2540"/>
          <w:sz w:val="20"/>
        </w:rPr>
        <w:t xml:space="preserve">Compliance Auditor: </w:t>
      </w:r>
      <w:r>
        <w:rPr>
          <w:rFonts w:ascii="Calibri" w:hAnsi="Calibri"/>
          <w:color w:val="1E293B"/>
          <w:sz w:val="20"/>
        </w:rPr>
        <w:t xml:space="preserve"> Read-only forensic view with full access to the complete, immutable system audit log, status transition timelines, and verification timestamps.</w:t>
      </w:r>
    </w:p>
    <w:p>
      <w:pPr>
        <w:pStyle w:val="ListBullet"/>
        <w:spacing w:before="0" w:after="60" w:line="276" w:lineRule="auto"/>
      </w:pPr>
      <w:r>
        <w:rPr>
          <w:rFonts w:ascii="Calibri" w:hAnsi="Calibri"/>
          <w:b/>
          <w:color w:val="0A2540"/>
          <w:sz w:val="20"/>
        </w:rPr>
        <w:t xml:space="preserve">One-Click Quick Login Chips: </w:t>
      </w:r>
      <w:r>
        <w:rPr>
          <w:rFonts w:ascii="Calibri" w:hAnsi="Calibri"/>
          <w:color w:val="1E293B"/>
          <w:sz w:val="20"/>
        </w:rPr>
        <w:t xml:space="preserve"> Login screen features interactive one-click role chips allowing evaluators to instantly switch between AICTE Officer, Auditor, and Institution Admin without manual credential typing.</w:t>
      </w:r>
    </w:p>
    <w:p>
      <w:pPr>
        <w:keepNext/>
        <w:spacing w:before="240" w:after="80"/>
      </w:pPr>
      <w:r>
        <w:rPr>
          <w:rFonts w:ascii="Calibri" w:hAnsi="Calibri"/>
          <w:b/>
          <w:color w:val="1E3A8A"/>
          <w:sz w:val="25"/>
        </w:rPr>
        <w:t>3.2 Five-Stage FDR Lifecycle State Machine</w:t>
      </w:r>
    </w:p>
    <w:p>
      <w:pPr>
        <w:spacing w:before="0" w:after="80" w:line="276" w:lineRule="auto"/>
      </w:pPr>
      <w:r>
        <w:rPr>
          <w:rFonts w:ascii="Calibri" w:hAnsi="Calibri"/>
          <w:color w:val="1E293B"/>
          <w:sz w:val="20"/>
        </w:rPr>
        <w:t>FDRFlow enforces strict lifecycle state transitions, preventing unauthorized or out-of-order state mutations:</w:t>
      </w:r>
    </w:p>
    <w:p>
      <w:pPr>
        <w:pStyle w:val="ListBullet"/>
        <w:spacing w:before="0" w:after="60" w:line="276" w:lineRule="auto"/>
      </w:pPr>
      <w:r>
        <w:rPr>
          <w:rFonts w:ascii="Calibri" w:hAnsi="Calibri"/>
          <w:b/>
          <w:color w:val="0A2540"/>
          <w:sz w:val="20"/>
        </w:rPr>
        <w:t xml:space="preserve">Stage 1: Submitted — </w:t>
      </w:r>
      <w:r>
        <w:rPr>
          <w:rFonts w:ascii="Calibri" w:hAnsi="Calibri"/>
          <w:color w:val="1E293B"/>
          <w:sz w:val="20"/>
        </w:rPr>
        <w:t xml:space="preserve"> Institution submits the FDR instrument details, bank guarantee number, pledge amount, maturity date, and certificate attachment.</w:t>
      </w:r>
    </w:p>
    <w:p>
      <w:pPr>
        <w:pStyle w:val="ListBullet"/>
        <w:spacing w:before="0" w:after="60" w:line="276" w:lineRule="auto"/>
      </w:pPr>
      <w:r>
        <w:rPr>
          <w:rFonts w:ascii="Calibri" w:hAnsi="Calibri"/>
          <w:b/>
          <w:color w:val="0A2540"/>
          <w:sz w:val="20"/>
        </w:rPr>
        <w:t xml:space="preserve">Stage 2: Under Verification — </w:t>
      </w:r>
      <w:r>
        <w:rPr>
          <w:rFonts w:ascii="Calibri" w:hAnsi="Calibri"/>
          <w:color w:val="1E293B"/>
          <w:sz w:val="20"/>
        </w:rPr>
        <w:t xml:space="preserve"> AICTE Officer reviews banking details against bank confirmation letters, records verification notes, and marks instrument as verified or flags discrepancies.</w:t>
      </w:r>
    </w:p>
    <w:p>
      <w:pPr>
        <w:pStyle w:val="ListBullet"/>
        <w:spacing w:before="0" w:after="60" w:line="276" w:lineRule="auto"/>
      </w:pPr>
      <w:r>
        <w:rPr>
          <w:rFonts w:ascii="Calibri" w:hAnsi="Calibri"/>
          <w:b/>
          <w:color w:val="0A2540"/>
          <w:sz w:val="20"/>
        </w:rPr>
        <w:t xml:space="preserve">Stage 3: Maturity Pending — </w:t>
      </w:r>
      <w:r>
        <w:rPr>
          <w:rFonts w:ascii="Calibri" w:hAnsi="Calibri"/>
          <w:color w:val="1E293B"/>
          <w:sz w:val="20"/>
        </w:rPr>
        <w:t xml:space="preserve"> System tracks deposit during its active validity period; as the instrument approaches its deadline (90, 30, or 7 days), automated alerts flag pending action.</w:t>
      </w:r>
    </w:p>
    <w:p>
      <w:pPr>
        <w:pStyle w:val="ListBullet"/>
        <w:spacing w:before="0" w:after="60" w:line="276" w:lineRule="auto"/>
      </w:pPr>
      <w:r>
        <w:rPr>
          <w:rFonts w:ascii="Calibri" w:hAnsi="Calibri"/>
          <w:b/>
          <w:color w:val="0A2540"/>
          <w:sz w:val="20"/>
        </w:rPr>
        <w:t xml:space="preserve">Stage 4: Renewal / Release Requested — </w:t>
      </w:r>
      <w:r>
        <w:rPr>
          <w:rFonts w:ascii="Calibri" w:hAnsi="Calibri"/>
          <w:color w:val="1E293B"/>
          <w:sz w:val="20"/>
        </w:rPr>
        <w:t xml:space="preserve"> Institution requests deposit extension, or submits formal request for release/encashment upon completion of AICTE statutory pledge period.</w:t>
      </w:r>
    </w:p>
    <w:p>
      <w:pPr>
        <w:pStyle w:val="ListBullet"/>
        <w:spacing w:before="0" w:after="60" w:line="276" w:lineRule="auto"/>
      </w:pPr>
      <w:r>
        <w:rPr>
          <w:rFonts w:ascii="Calibri" w:hAnsi="Calibri"/>
          <w:b/>
          <w:color w:val="0A2540"/>
          <w:sz w:val="20"/>
        </w:rPr>
        <w:t xml:space="preserve">Stage 5: Released / Expired — </w:t>
      </w:r>
      <w:r>
        <w:rPr>
          <w:rFonts w:ascii="Calibri" w:hAnsi="Calibri"/>
          <w:color w:val="1E293B"/>
          <w:sz w:val="20"/>
        </w:rPr>
        <w:t xml:space="preserve"> Formal authorization by competent authority releasing funds back to the institution or closing the instrument upon completion.</w:t>
      </w:r>
    </w:p>
    <w:p>
      <w:pPr>
        <w:keepNext/>
        <w:spacing w:before="240" w:after="80"/>
      </w:pPr>
      <w:r>
        <w:rPr>
          <w:rFonts w:ascii="Calibri" w:hAnsi="Calibri"/>
          <w:b/>
          <w:color w:val="1E3A8A"/>
          <w:sz w:val="25"/>
        </w:rPr>
        <w:t>3.3 Executive Dashboard &amp; Real-Time KPI Analytics</w:t>
      </w:r>
    </w:p>
    <w:p>
      <w:pPr>
        <w:pStyle w:val="ListBullet"/>
        <w:spacing w:before="0" w:after="60" w:line="276" w:lineRule="auto"/>
      </w:pPr>
      <w:r>
        <w:rPr>
          <w:rFonts w:ascii="Calibri" w:hAnsi="Calibri"/>
          <w:b/>
          <w:color w:val="0A2540"/>
          <w:sz w:val="20"/>
        </w:rPr>
        <w:t xml:space="preserve">Total Deposit Value Portfolio: </w:t>
      </w:r>
      <w:r>
        <w:rPr>
          <w:rFonts w:ascii="Calibri" w:hAnsi="Calibri"/>
          <w:color w:val="1E293B"/>
          <w:sz w:val="20"/>
        </w:rPr>
        <w:t xml:space="preserve"> Aggregates total financial security value across all accredited technical universities (e.g. ₹3.88 Crores in demo registry).</w:t>
      </w:r>
    </w:p>
    <w:p>
      <w:pPr>
        <w:pStyle w:val="ListBullet"/>
        <w:spacing w:before="0" w:after="60" w:line="276" w:lineRule="auto"/>
      </w:pPr>
      <w:r>
        <w:rPr>
          <w:rFonts w:ascii="Calibri" w:hAnsi="Calibri"/>
          <w:b/>
          <w:color w:val="0A2540"/>
          <w:sz w:val="20"/>
        </w:rPr>
        <w:t xml:space="preserve">Pending Verifications Counter: </w:t>
      </w:r>
      <w:r>
        <w:rPr>
          <w:rFonts w:ascii="Calibri" w:hAnsi="Calibri"/>
          <w:color w:val="1E293B"/>
          <w:sz w:val="20"/>
        </w:rPr>
        <w:t xml:space="preserve"> Highlights fresh submissions awaiting regulatory officer review to prevent administrative backlogs.</w:t>
      </w:r>
    </w:p>
    <w:p>
      <w:pPr>
        <w:pStyle w:val="ListBullet"/>
        <w:spacing w:before="0" w:after="60" w:line="276" w:lineRule="auto"/>
      </w:pPr>
      <w:r>
        <w:rPr>
          <w:rFonts w:ascii="Calibri" w:hAnsi="Calibri"/>
          <w:b/>
          <w:color w:val="0A2540"/>
          <w:sz w:val="20"/>
        </w:rPr>
        <w:t xml:space="preserve">Maturity Watchlist Widget: </w:t>
      </w:r>
      <w:r>
        <w:rPr>
          <w:rFonts w:ascii="Calibri" w:hAnsi="Calibri"/>
          <w:color w:val="1E293B"/>
          <w:sz w:val="20"/>
        </w:rPr>
        <w:t xml:space="preserve"> Proactively isolates deposits reaching maturity within the next 30 to 90 days, preventing inadvertent auto-renewals.</w:t>
      </w:r>
    </w:p>
    <w:p>
      <w:pPr>
        <w:pStyle w:val="ListBullet"/>
        <w:spacing w:before="0" w:after="60" w:line="276" w:lineRule="auto"/>
      </w:pPr>
      <w:r>
        <w:rPr>
          <w:rFonts w:ascii="Calibri" w:hAnsi="Calibri"/>
          <w:b/>
          <w:color w:val="0A2540"/>
          <w:sz w:val="20"/>
        </w:rPr>
        <w:t xml:space="preserve">Status Breakdown Bar: </w:t>
      </w:r>
      <w:r>
        <w:rPr>
          <w:rFonts w:ascii="Calibri" w:hAnsi="Calibri"/>
          <w:color w:val="1E293B"/>
          <w:sz w:val="20"/>
        </w:rPr>
        <w:t xml:space="preserve"> Distribution breakdown visualizer displaying counts for Submitted, Under Verification, Maturity Pending, and Released statuses.</w:t>
      </w:r>
    </w:p>
    <w:p>
      <w:pPr>
        <w:keepNext/>
        <w:spacing w:before="240" w:after="80"/>
      </w:pPr>
      <w:r>
        <w:rPr>
          <w:rFonts w:ascii="Calibri" w:hAnsi="Calibri"/>
          <w:b/>
          <w:color w:val="1E3A8A"/>
          <w:sz w:val="25"/>
        </w:rPr>
        <w:t>3.4 Interactive FDR Registry with Multi-Criteria Filtering</w:t>
      </w:r>
    </w:p>
    <w:p>
      <w:pPr>
        <w:pStyle w:val="ListBullet"/>
        <w:spacing w:before="0" w:after="60" w:line="276" w:lineRule="auto"/>
      </w:pPr>
      <w:r>
        <w:rPr>
          <w:rFonts w:ascii="Calibri" w:hAnsi="Calibri"/>
          <w:b/>
          <w:color w:val="0A2540"/>
          <w:sz w:val="20"/>
        </w:rPr>
        <w:t xml:space="preserve">Status Pipeline Tabs: </w:t>
      </w:r>
      <w:r>
        <w:rPr>
          <w:rFonts w:ascii="Calibri" w:hAnsi="Calibri"/>
          <w:color w:val="1E293B"/>
          <w:sz w:val="20"/>
        </w:rPr>
        <w:t xml:space="preserve"> Instantly filter deposits by 'All', 'Submitted', 'Under Verification', 'Maturity Pending', 'Renewal Requested', or 'Released'.</w:t>
      </w:r>
    </w:p>
    <w:p>
      <w:pPr>
        <w:pStyle w:val="ListBullet"/>
        <w:spacing w:before="0" w:after="60" w:line="276" w:lineRule="auto"/>
      </w:pPr>
      <w:r>
        <w:rPr>
          <w:rFonts w:ascii="Calibri" w:hAnsi="Calibri"/>
          <w:b/>
          <w:color w:val="0A2540"/>
          <w:sz w:val="20"/>
        </w:rPr>
        <w:t xml:space="preserve">Multi-Column Instant Search: </w:t>
      </w:r>
      <w:r>
        <w:rPr>
          <w:rFonts w:ascii="Calibri" w:hAnsi="Calibri"/>
          <w:color w:val="1E293B"/>
          <w:sz w:val="20"/>
        </w:rPr>
        <w:t xml:space="preserve"> Real-time search across Bank Name (SBI, PNB, BOB, HDFC, ICICI, etc.), Instrument Reference Number, and Institution Name.</w:t>
      </w:r>
    </w:p>
    <w:p>
      <w:pPr>
        <w:pStyle w:val="ListBullet"/>
        <w:spacing w:before="0" w:after="60" w:line="276" w:lineRule="auto"/>
      </w:pPr>
      <w:r>
        <w:rPr>
          <w:rFonts w:ascii="Calibri" w:hAnsi="Calibri"/>
          <w:b/>
          <w:color w:val="0A2540"/>
          <w:sz w:val="20"/>
        </w:rPr>
        <w:t xml:space="preserve">Dynamic Status Badges: </w:t>
      </w:r>
      <w:r>
        <w:rPr>
          <w:rFonts w:ascii="Calibri" w:hAnsi="Calibri"/>
          <w:color w:val="1E293B"/>
          <w:sz w:val="20"/>
        </w:rPr>
        <w:t xml:space="preserve"> Color-coded indicators with pulse animation for urgent attention states (e.g., Red for overdue/renewal requested, Amber for under verification, Green for verified).</w:t>
      </w:r>
    </w:p>
    <w:p>
      <w:pPr>
        <w:keepNext/>
        <w:spacing w:before="240" w:after="80"/>
      </w:pPr>
      <w:r>
        <w:rPr>
          <w:rFonts w:ascii="Calibri" w:hAnsi="Calibri"/>
          <w:b/>
          <w:color w:val="1E3A8A"/>
          <w:sz w:val="25"/>
        </w:rPr>
        <w:t>3.5 Deep FDR Detail Inspection &amp; Verification Workstation</w:t>
      </w:r>
    </w:p>
    <w:p>
      <w:pPr>
        <w:pStyle w:val="ListBullet"/>
        <w:spacing w:before="0" w:after="60" w:line="276" w:lineRule="auto"/>
      </w:pPr>
      <w:r>
        <w:rPr>
          <w:rFonts w:ascii="Calibri" w:hAnsi="Calibri"/>
          <w:b/>
          <w:color w:val="0A2540"/>
          <w:sz w:val="20"/>
        </w:rPr>
        <w:t xml:space="preserve">Graphical Lifecycle Stepper: </w:t>
      </w:r>
      <w:r>
        <w:rPr>
          <w:rFonts w:ascii="Calibri" w:hAnsi="Calibri"/>
          <w:color w:val="1E293B"/>
          <w:sz w:val="20"/>
        </w:rPr>
        <w:t xml:space="preserve"> Visual step indicator displaying current position in the 5-phase journey with completed, active, and upcoming indicators.</w:t>
      </w:r>
    </w:p>
    <w:p>
      <w:pPr>
        <w:pStyle w:val="ListBullet"/>
        <w:spacing w:before="0" w:after="60" w:line="276" w:lineRule="auto"/>
      </w:pPr>
      <w:r>
        <w:rPr>
          <w:rFonts w:ascii="Calibri" w:hAnsi="Calibri"/>
          <w:b/>
          <w:color w:val="0A2540"/>
          <w:sz w:val="20"/>
        </w:rPr>
        <w:t xml:space="preserve">Financial Instrument Dossier: </w:t>
      </w:r>
      <w:r>
        <w:rPr>
          <w:rFonts w:ascii="Calibri" w:hAnsi="Calibri"/>
          <w:color w:val="1E293B"/>
          <w:sz w:val="20"/>
        </w:rPr>
        <w:t xml:space="preserve"> Detailed breakdown of Institution, Bank &amp; Branch, Instrument Ref, Principal Amount, Interest Rate, Issue Date, and Maturity Date.</w:t>
      </w:r>
    </w:p>
    <w:p>
      <w:pPr>
        <w:pStyle w:val="ListBullet"/>
        <w:spacing w:before="0" w:after="60" w:line="276" w:lineRule="auto"/>
      </w:pPr>
      <w:r>
        <w:rPr>
          <w:rFonts w:ascii="Calibri" w:hAnsi="Calibri"/>
          <w:b/>
          <w:color w:val="0A2540"/>
          <w:sz w:val="20"/>
        </w:rPr>
        <w:t xml:space="preserve">Verification Action Form: </w:t>
      </w:r>
      <w:r>
        <w:rPr>
          <w:rFonts w:ascii="Calibri" w:hAnsi="Calibri"/>
          <w:color w:val="1E293B"/>
          <w:sz w:val="20"/>
        </w:rPr>
        <w:t xml:space="preserve"> Exclusive to AICTE Officers — allows marking 'Verified', 'Discrepancy Found', or 'Manual Review' with mandatory evidence notes.</w:t>
      </w:r>
    </w:p>
    <w:p>
      <w:pPr>
        <w:pStyle w:val="ListBullet"/>
        <w:spacing w:before="0" w:after="60" w:line="276" w:lineRule="auto"/>
      </w:pPr>
      <w:r>
        <w:rPr>
          <w:rFonts w:ascii="Calibri" w:hAnsi="Calibri"/>
          <w:b/>
          <w:color w:val="0A2540"/>
          <w:sz w:val="20"/>
        </w:rPr>
        <w:t xml:space="preserve">Workflow Transition Controller: </w:t>
      </w:r>
      <w:r>
        <w:rPr>
          <w:rFonts w:ascii="Calibri" w:hAnsi="Calibri"/>
          <w:color w:val="1E293B"/>
          <w:sz w:val="20"/>
        </w:rPr>
        <w:t xml:space="preserve"> Allows authorized transition of state with mandatory rationale logged into audit records.</w:t>
      </w:r>
    </w:p>
    <w:p>
      <w:pPr>
        <w:pStyle w:val="ListBullet"/>
        <w:spacing w:before="0" w:after="60" w:line="276" w:lineRule="auto"/>
      </w:pPr>
      <w:r>
        <w:rPr>
          <w:rFonts w:ascii="Calibri" w:hAnsi="Calibri"/>
          <w:b/>
          <w:color w:val="0A2540"/>
          <w:sz w:val="20"/>
        </w:rPr>
        <w:t xml:space="preserve">FDR-Specific Audit Trail: </w:t>
      </w:r>
      <w:r>
        <w:rPr>
          <w:rFonts w:ascii="Calibri" w:hAnsi="Calibri"/>
          <w:color w:val="1E293B"/>
          <w:sz w:val="20"/>
        </w:rPr>
        <w:t xml:space="preserve"> Reverse chronological timeline showing every action, actor, timestamp, and notes associated with the specific FDR.</w:t>
      </w:r>
    </w:p>
    <w:p>
      <w:pPr>
        <w:keepNext/>
        <w:spacing w:before="240" w:after="80"/>
      </w:pPr>
      <w:r>
        <w:rPr>
          <w:rFonts w:ascii="Calibri" w:hAnsi="Calibri"/>
          <w:b/>
          <w:color w:val="1E3A8A"/>
          <w:sz w:val="25"/>
        </w:rPr>
        <w:t>3.6 Automated Background Alert &amp; Maturity Notification Scheduler</w:t>
      </w:r>
    </w:p>
    <w:p>
      <w:pPr>
        <w:pStyle w:val="ListBullet"/>
        <w:spacing w:before="0" w:after="60" w:line="276" w:lineRule="auto"/>
      </w:pPr>
      <w:r>
        <w:rPr>
          <w:rFonts w:ascii="Calibri" w:hAnsi="Calibri"/>
          <w:b/>
          <w:color w:val="0A2540"/>
          <w:sz w:val="20"/>
        </w:rPr>
        <w:t xml:space="preserve">Proactive Monitoring Daemon: </w:t>
      </w:r>
      <w:r>
        <w:rPr>
          <w:rFonts w:ascii="Calibri" w:hAnsi="Calibri"/>
          <w:color w:val="1E293B"/>
          <w:sz w:val="20"/>
        </w:rPr>
        <w:t xml:space="preserve"> An automated node-cron daemon checks the database daily at 08:00 AM.</w:t>
      </w:r>
    </w:p>
    <w:p>
      <w:pPr>
        <w:pStyle w:val="ListBullet"/>
        <w:spacing w:before="0" w:after="60" w:line="276" w:lineRule="auto"/>
      </w:pPr>
      <w:r>
        <w:rPr>
          <w:rFonts w:ascii="Calibri" w:hAnsi="Calibri"/>
          <w:b/>
          <w:color w:val="0A2540"/>
          <w:sz w:val="20"/>
        </w:rPr>
        <w:t xml:space="preserve">Automated Multi-Tier Triggers: </w:t>
      </w:r>
      <w:r>
        <w:rPr>
          <w:rFonts w:ascii="Calibri" w:hAnsi="Calibri"/>
          <w:color w:val="1E293B"/>
          <w:sz w:val="20"/>
        </w:rPr>
        <w:t xml:space="preserve"> Computes delta days = (Maturity Date - Current Date). Automatically categorizes deposits into 90-Day Warning, 30-Day Warning, 7-Day Critical, and Overdue.</w:t>
      </w:r>
    </w:p>
    <w:p>
      <w:pPr>
        <w:pStyle w:val="ListBullet"/>
        <w:spacing w:before="0" w:after="60" w:line="276" w:lineRule="auto"/>
      </w:pPr>
      <w:r>
        <w:rPr>
          <w:rFonts w:ascii="Calibri" w:hAnsi="Calibri"/>
          <w:b/>
          <w:color w:val="0A2540"/>
          <w:sz w:val="20"/>
        </w:rPr>
        <w:t xml:space="preserve">Dual Notification Delivery: </w:t>
      </w:r>
      <w:r>
        <w:rPr>
          <w:rFonts w:ascii="Calibri" w:hAnsi="Calibri"/>
          <w:color w:val="1E293B"/>
          <w:sz w:val="20"/>
        </w:rPr>
        <w:t xml:space="preserve"> Creates pending alert records and dispatches email notifications to both the Institution Admin and the AICTE nodal officer.</w:t>
      </w:r>
    </w:p>
    <w:p>
      <w:pPr>
        <w:keepNext/>
        <w:spacing w:before="240" w:after="80"/>
      </w:pPr>
      <w:r>
        <w:rPr>
          <w:rFonts w:ascii="Calibri" w:hAnsi="Calibri"/>
          <w:b/>
          <w:color w:val="1E3A8A"/>
          <w:sz w:val="25"/>
        </w:rPr>
        <w:t>3.7 Immutable Audit Trail &amp; Regulatory Compliance Logging</w:t>
      </w:r>
    </w:p>
    <w:p>
      <w:pPr>
        <w:pStyle w:val="ListBullet"/>
        <w:spacing w:before="0" w:after="60" w:line="276" w:lineRule="auto"/>
      </w:pPr>
      <w:r>
        <w:rPr>
          <w:rFonts w:ascii="Calibri" w:hAnsi="Calibri"/>
          <w:b/>
          <w:color w:val="0A2540"/>
          <w:sz w:val="20"/>
        </w:rPr>
        <w:t xml:space="preserve">Universal Event Capture: </w:t>
      </w:r>
      <w:r>
        <w:rPr>
          <w:rFonts w:ascii="Calibri" w:hAnsi="Calibri"/>
          <w:color w:val="1E293B"/>
          <w:sz w:val="20"/>
        </w:rPr>
        <w:t xml:space="preserve"> Every critical operation (User Login, FDR Submission, Verification Action, Status Change, Document Upload) is automatically recorded.</w:t>
      </w:r>
    </w:p>
    <w:p>
      <w:pPr>
        <w:pStyle w:val="ListBullet"/>
        <w:spacing w:before="0" w:after="60" w:line="276" w:lineRule="auto"/>
      </w:pPr>
      <w:r>
        <w:rPr>
          <w:rFonts w:ascii="Calibri" w:hAnsi="Calibri"/>
          <w:b/>
          <w:color w:val="0A2540"/>
          <w:sz w:val="20"/>
        </w:rPr>
        <w:t xml:space="preserve">Granular Change Metadata: </w:t>
      </w:r>
      <w:r>
        <w:rPr>
          <w:rFonts w:ascii="Calibri" w:hAnsi="Calibri"/>
          <w:color w:val="1E293B"/>
          <w:sz w:val="20"/>
        </w:rPr>
        <w:t xml:space="preserve"> Each audit entry stores FDR ID, Action Name, Previous Status, New Status, Performed By (User ID &amp; Name), Timestamp, and Free-text rationale notes.</w:t>
      </w:r>
    </w:p>
    <w:p>
      <w:pPr>
        <w:pStyle w:val="ListBullet"/>
        <w:spacing w:before="0" w:after="60" w:line="276" w:lineRule="auto"/>
      </w:pPr>
      <w:r>
        <w:rPr>
          <w:rFonts w:ascii="Calibri" w:hAnsi="Calibri"/>
          <w:b/>
          <w:color w:val="0A2540"/>
          <w:sz w:val="20"/>
        </w:rPr>
        <w:t xml:space="preserve">Dedicated Audit Explorer: </w:t>
      </w:r>
      <w:r>
        <w:rPr>
          <w:rFonts w:ascii="Calibri" w:hAnsi="Calibri"/>
          <w:color w:val="1E293B"/>
          <w:sz w:val="20"/>
        </w:rPr>
        <w:t xml:space="preserve"> Dedicated searchable audit explorer with pagination, action-type color tags, and user attribution for oversight teams.</w:t>
      </w:r>
    </w:p>
    <w:p>
      <w:pPr>
        <w:keepNext/>
        <w:spacing w:before="360" w:after="120"/>
      </w:pPr>
      <w:r>
        <w:rPr>
          <w:rFonts w:ascii="Calibri" w:hAnsi="Calibri"/>
          <w:b/>
          <w:color w:val="0A2540"/>
          <w:sz w:val="32"/>
        </w:rPr>
        <w:t>4. Novel Innovations &amp; 'New Things' in FDRFlow</w:t>
      </w:r>
    </w:p>
    <w:tbl>
      <w:tblPr>
        <w:tblW w:type="auto" w:w="0"/>
        <w:jc w:val="left"/>
        <w:tblLayout w:type="fixed"/>
        <w:tblLook w:firstColumn="1" w:firstRow="1" w:lastColumn="0" w:lastRow="0" w:noHBand="0" w:noVBand="1" w:val="04A0"/>
      </w:tblPr>
      <w:tblGrid>
        <w:gridCol w:w="10080"/>
      </w:tblGrid>
      <w:tr>
        <w:tc>
          <w:tcPr>
            <w:tcW w:type="dxa" w:w="10080"/>
            <w:shd w:fill="0284C7"/>
            <w:tcMar>
              <w:top w:w="10" w:type="dxa"/>
              <w:bottom w:w="10" w:type="dxa"/>
              <w:left w:w="0" w:type="dxa"/>
              <w:right w:w="0" w:type="dxa"/>
            </w:tcMar>
          </w:tcPr>
          <w:p>
            <w:pPr>
              <w:spacing w:before="0" w:after="0"/>
            </w:pPr>
            <w:r>
              <w:rPr>
                <w:sz w:val="2"/>
              </w:rPr>
            </w:r>
          </w:p>
        </w:tc>
      </w:tr>
    </w:tbl>
    <w:p>
      <w:pPr>
        <w:spacing w:before="0" w:after="80"/>
      </w:pPr>
    </w:p>
    <w:p>
      <w:pPr>
        <w:spacing w:before="0" w:after="80" w:line="276" w:lineRule="auto"/>
      </w:pPr>
      <w:r>
        <w:rPr>
          <w:rFonts w:ascii="Calibri" w:hAnsi="Calibri"/>
          <w:color w:val="1E293B"/>
          <w:sz w:val="20"/>
        </w:rPr>
        <w:t>Beyond standard CRUD portals, FDRFlow introduces several high-impact software and architectural innovations designed specifically for regulatory efficiency and hackathon evaluation:</w:t>
      </w:r>
    </w:p>
    <w:p>
      <w:pPr>
        <w:keepNext/>
        <w:spacing w:before="240" w:after="80"/>
      </w:pPr>
      <w:r>
        <w:rPr>
          <w:rFonts w:ascii="Calibri" w:hAnsi="Calibri"/>
          <w:b/>
          <w:color w:val="1E3A8A"/>
          <w:sz w:val="25"/>
        </w:rPr>
        <w:t>4.1 Smart Dual-Engine Database Abstraction (Zero-Config Portability)</w:t>
      </w:r>
    </w:p>
    <w:p>
      <w:pPr>
        <w:spacing w:before="0" w:after="80" w:line="276" w:lineRule="auto"/>
      </w:pPr>
      <w:r>
        <w:rPr>
          <w:rFonts w:ascii="Calibri" w:hAnsi="Calibri"/>
          <w:color w:val="1E293B"/>
          <w:sz w:val="20"/>
        </w:rPr>
        <w:t>A frequent pitfall in prototype deployments is the dependency on external relational database daemons (like MySQL or PostgreSQL) being installed and running on the evaluation machine. FDRFlow features a smart Sequelize connection layer that seamlessly operates in two modes:</w:t>
      </w:r>
    </w:p>
    <w:p>
      <w:pPr>
        <w:pStyle w:val="ListBullet"/>
        <w:spacing w:before="0" w:after="60" w:line="276" w:lineRule="auto"/>
      </w:pPr>
      <w:r>
        <w:rPr>
          <w:rFonts w:ascii="Calibri" w:hAnsi="Calibri"/>
          <w:b/>
          <w:color w:val="0A2540"/>
          <w:sz w:val="20"/>
        </w:rPr>
        <w:t xml:space="preserve">Mode A: Embedded SQLite (Zero-Config Local Evaluation): </w:t>
      </w:r>
      <w:r>
        <w:rPr>
          <w:rFonts w:ascii="Calibri" w:hAnsi="Calibri"/>
          <w:color w:val="1E293B"/>
          <w:sz w:val="20"/>
        </w:rPr>
        <w:t xml:space="preserve"> Out of the box, FDRFlow connects to an embedded SQLite database (`fdrflow.sqlite`). It requires zero installation, zero external services, and runs identically on Windows, Linux, or macOS.</w:t>
      </w:r>
    </w:p>
    <w:p>
      <w:pPr>
        <w:pStyle w:val="ListBullet"/>
        <w:spacing w:before="0" w:after="60" w:line="276" w:lineRule="auto"/>
      </w:pPr>
      <w:r>
        <w:rPr>
          <w:rFonts w:ascii="Calibri" w:hAnsi="Calibri"/>
          <w:b/>
          <w:color w:val="0A2540"/>
          <w:sz w:val="20"/>
        </w:rPr>
        <w:t xml:space="preserve">Mode B: Enterprise MySQL: </w:t>
      </w:r>
      <w:r>
        <w:rPr>
          <w:rFonts w:ascii="Calibri" w:hAnsi="Calibri"/>
          <w:color w:val="1E293B"/>
          <w:sz w:val="20"/>
        </w:rPr>
        <w:t xml:space="preserve"> By simply updating `.env` (`DB_DIALECT=mysql`), the identical codebase connects to an enterprise MySQL server with connection pooling and high concurrency.</w:t>
      </w:r>
    </w:p>
    <w:p>
      <w:pPr>
        <w:keepNext/>
        <w:spacing w:before="240" w:after="80"/>
      </w:pPr>
      <w:r>
        <w:rPr>
          <w:rFonts w:ascii="Calibri" w:hAnsi="Calibri"/>
          <w:b/>
          <w:color w:val="1E3A8A"/>
          <w:sz w:val="25"/>
        </w:rPr>
        <w:t>4.2 Automated In-Memory Seeding Engine</w:t>
      </w:r>
    </w:p>
    <w:p>
      <w:pPr>
        <w:spacing w:before="0" w:after="80" w:line="276" w:lineRule="auto"/>
      </w:pPr>
      <w:r>
        <w:rPr>
          <w:rFonts w:ascii="Calibri" w:hAnsi="Calibri"/>
          <w:color w:val="1E293B"/>
          <w:sz w:val="20"/>
        </w:rPr>
        <w:t>Upon startup, FDRFlow automatically queries its user and institute tables. If empty, it executes an automated seeding sequence generating realistic, real-world data:</w:t>
      </w:r>
    </w:p>
    <w:p>
      <w:pPr>
        <w:pStyle w:val="ListBullet"/>
        <w:spacing w:before="0" w:after="60" w:line="276" w:lineRule="auto"/>
      </w:pPr>
      <w:r>
        <w:rPr>
          <w:rFonts w:ascii="Calibri" w:hAnsi="Calibri"/>
          <w:b/>
          <w:color w:val="0A2540"/>
          <w:sz w:val="20"/>
        </w:rPr>
        <w:t xml:space="preserve">5 Accredited Institutions: </w:t>
      </w:r>
      <w:r>
        <w:rPr>
          <w:rFonts w:ascii="Calibri" w:hAnsi="Calibri"/>
          <w:color w:val="1E293B"/>
          <w:sz w:val="20"/>
        </w:rPr>
        <w:t xml:space="preserve"> Pre-configures IIT Delhi, NIT Trichy, BITS Pilani, VIT Vellore, and Amity University.</w:t>
      </w:r>
    </w:p>
    <w:p>
      <w:pPr>
        <w:pStyle w:val="ListBullet"/>
        <w:spacing w:before="0" w:after="60" w:line="276" w:lineRule="auto"/>
      </w:pPr>
      <w:r>
        <w:rPr>
          <w:rFonts w:ascii="Calibri" w:hAnsi="Calibri"/>
          <w:b/>
          <w:color w:val="0A2540"/>
          <w:sz w:val="20"/>
        </w:rPr>
        <w:t xml:space="preserve">5 Pre-configured Role Personas: </w:t>
      </w:r>
      <w:r>
        <w:rPr>
          <w:rFonts w:ascii="Calibri" w:hAnsi="Calibri"/>
          <w:color w:val="1E293B"/>
          <w:sz w:val="20"/>
        </w:rPr>
        <w:t xml:space="preserve"> Configures AICTE Regulatory Officer, Compliance Auditor, and 3 Institution Administrators with pre-hashed Bcrypt passwords.</w:t>
      </w:r>
    </w:p>
    <w:p>
      <w:pPr>
        <w:pStyle w:val="ListBullet"/>
        <w:spacing w:before="0" w:after="60" w:line="276" w:lineRule="auto"/>
      </w:pPr>
      <w:r>
        <w:rPr>
          <w:rFonts w:ascii="Calibri" w:hAnsi="Calibri"/>
          <w:b/>
          <w:color w:val="0A2540"/>
          <w:sz w:val="20"/>
        </w:rPr>
        <w:t xml:space="preserve">10 Diverse FDR Records: </w:t>
      </w:r>
      <w:r>
        <w:rPr>
          <w:rFonts w:ascii="Calibri" w:hAnsi="Calibri"/>
          <w:color w:val="1E293B"/>
          <w:sz w:val="20"/>
        </w:rPr>
        <w:t xml:space="preserve"> Seeds 10 realistic multi-lakh and multi-crore FDRs distributed across State Bank of India, PNB, Bank of Baroda, Canara Bank, HDFC, ICICI, Union Bank, and Bank of India.</w:t>
      </w:r>
    </w:p>
    <w:p>
      <w:pPr>
        <w:pStyle w:val="ListBullet"/>
        <w:spacing w:before="0" w:after="60" w:line="276" w:lineRule="auto"/>
      </w:pPr>
      <w:r>
        <w:rPr>
          <w:rFonts w:ascii="Calibri" w:hAnsi="Calibri"/>
          <w:b/>
          <w:color w:val="0A2540"/>
          <w:sz w:val="20"/>
        </w:rPr>
        <w:t xml:space="preserve">Initial Audit Trail: </w:t>
      </w:r>
      <w:r>
        <w:rPr>
          <w:rFonts w:ascii="Calibri" w:hAnsi="Calibri"/>
          <w:color w:val="1E293B"/>
          <w:sz w:val="20"/>
        </w:rPr>
        <w:t xml:space="preserve"> Populates realistic historical status updates and verification logs to immediately demonstrate compliance reporting.</w:t>
      </w:r>
    </w:p>
    <w:p>
      <w:pPr>
        <w:keepNext/>
        <w:spacing w:before="240" w:after="80"/>
      </w:pPr>
      <w:r>
        <w:rPr>
          <w:rFonts w:ascii="Calibri" w:hAnsi="Calibri"/>
          <w:b/>
          <w:color w:val="1E3A8A"/>
          <w:sz w:val="25"/>
        </w:rPr>
        <w:t>4.3 Evaluator-Centric One-Click Persona Switcher</w:t>
      </w:r>
    </w:p>
    <w:p>
      <w:pPr>
        <w:spacing w:before="0" w:after="80" w:line="276" w:lineRule="auto"/>
      </w:pPr>
      <w:r>
        <w:rPr>
          <w:rFonts w:ascii="Calibri" w:hAnsi="Calibri"/>
          <w:color w:val="1E293B"/>
          <w:sz w:val="20"/>
        </w:rPr>
        <w:t>To streamline live judging and presentations, the login portal features dedicated quick-login action buttons (`AICTE Officer`, `Auditor`, `IIT Delhi Admin`, `NIT Trichy Admin`). Evaluators do not need to memorize passwords or type credentials — a single click loads the role and navigates to the appropriate dashboard context.</w:t>
      </w:r>
    </w:p>
    <w:p>
      <w:pPr>
        <w:keepNext/>
        <w:spacing w:before="240" w:after="80"/>
      </w:pPr>
      <w:r>
        <w:rPr>
          <w:rFonts w:ascii="Calibri" w:hAnsi="Calibri"/>
          <w:b/>
          <w:color w:val="1E3A8A"/>
          <w:sz w:val="25"/>
        </w:rPr>
        <w:t>4.4 Visual State Machine Lifecycle Stepper</w:t>
      </w:r>
    </w:p>
    <w:p>
      <w:pPr>
        <w:spacing w:before="0" w:after="80" w:line="276" w:lineRule="auto"/>
      </w:pPr>
      <w:r>
        <w:rPr>
          <w:rFonts w:ascii="Calibri" w:hAnsi="Calibri"/>
          <w:color w:val="1E293B"/>
          <w:sz w:val="20"/>
        </w:rPr>
        <w:t>Rather than displaying raw status text, FDRFlow features a 5-step interactive graphical stepper on every FDR detail view. Each phase dynamically reflects whether it has been completed, is currently active, or is awaiting future actions. This provides instant visual clarity for both university officials and government auditors.</w:t>
      </w:r>
    </w:p>
    <w:p>
      <w:pPr>
        <w:keepNext/>
        <w:spacing w:before="240" w:after="80"/>
      </w:pPr>
      <w:r>
        <w:rPr>
          <w:rFonts w:ascii="Calibri" w:hAnsi="Calibri"/>
          <w:b/>
          <w:color w:val="1E3A8A"/>
          <w:sz w:val="25"/>
        </w:rPr>
        <w:t>4.5 Multi-Tier Automated Proactive Risk Detection</w:t>
      </w:r>
    </w:p>
    <w:p>
      <w:pPr>
        <w:spacing w:before="0" w:after="80" w:line="276" w:lineRule="auto"/>
      </w:pPr>
      <w:r>
        <w:rPr>
          <w:rFonts w:ascii="Calibri" w:hAnsi="Calibri"/>
          <w:color w:val="1E293B"/>
          <w:sz w:val="20"/>
        </w:rPr>
        <w:t>Instead of relying on human vigilance to identify expiring deposits, the proactive background cron scanner automatically calculates risk horizons (90 days, 30 days, 7 days) and triggers targeted alerts, eliminating the risk of accidental revenue lapses or forgotten bank guarantees.</w:t>
      </w:r>
    </w:p>
    <w:p>
      <w:pPr>
        <w:keepNext/>
        <w:spacing w:before="360" w:after="120"/>
      </w:pPr>
      <w:r>
        <w:rPr>
          <w:rFonts w:ascii="Calibri" w:hAnsi="Calibri"/>
          <w:b/>
          <w:color w:val="0A2540"/>
          <w:sz w:val="32"/>
        </w:rPr>
        <w:t>5. Database Schema &amp; Entity Relationships</w:t>
      </w:r>
    </w:p>
    <w:tbl>
      <w:tblPr>
        <w:tblW w:type="auto" w:w="0"/>
        <w:jc w:val="left"/>
        <w:tblLayout w:type="fixed"/>
        <w:tblLook w:firstColumn="1" w:firstRow="1" w:lastColumn="0" w:lastRow="0" w:noHBand="0" w:noVBand="1" w:val="04A0"/>
      </w:tblPr>
      <w:tblGrid>
        <w:gridCol w:w="10080"/>
      </w:tblGrid>
      <w:tr>
        <w:tc>
          <w:tcPr>
            <w:tcW w:type="dxa" w:w="10080"/>
            <w:shd w:fill="0284C7"/>
            <w:tcMar>
              <w:top w:w="10" w:type="dxa"/>
              <w:bottom w:w="10" w:type="dxa"/>
              <w:left w:w="0" w:type="dxa"/>
              <w:right w:w="0" w:type="dxa"/>
            </w:tcMar>
          </w:tcPr>
          <w:p>
            <w:pPr>
              <w:spacing w:before="0" w:after="0"/>
            </w:pPr>
            <w:r>
              <w:rPr>
                <w:sz w:val="2"/>
              </w:rPr>
            </w:r>
          </w:p>
        </w:tc>
      </w:tr>
    </w:tbl>
    <w:p>
      <w:pPr>
        <w:spacing w:before="0" w:after="80"/>
      </w:pPr>
    </w:p>
    <w:p>
      <w:pPr>
        <w:spacing w:before="0" w:after="80" w:line="276" w:lineRule="auto"/>
      </w:pPr>
      <w:r>
        <w:rPr>
          <w:rFonts w:ascii="Calibri" w:hAnsi="Calibri"/>
          <w:color w:val="1E293B"/>
          <w:sz w:val="20"/>
        </w:rPr>
        <w:t>The FDRFlow relational model consists of 7 normalized entities with strict foreign key constraints:</w:t>
      </w:r>
    </w:p>
    <w:tbl>
      <w:tblPr>
        <w:tblW w:type="auto" w:w="0"/>
        <w:jc w:val="center"/>
        <w:tblLayout w:type="fixed"/>
        <w:tblLook w:firstColumn="1" w:firstRow="1" w:lastColumn="0" w:lastRow="0" w:noHBand="0" w:noVBand="1" w:val="04A0"/>
        <w:tblBorders>
          <w:top w:val="single" w:sz="4" w:space="0" w:color="CBD5E1"/>
          <w:left w:val="none"/>
          <w:bottom w:val="single" w:sz="8" w:space="0" w:color="0A2540"/>
          <w:right w:val="none"/>
          <w:insideH w:val="single" w:sz="4" w:space="0" w:color="E2E8F0"/>
          <w:insideV w:val="none"/>
        </w:tblBorders>
      </w:tblPr>
      <w:tblGrid>
        <w:gridCol w:w="3360"/>
        <w:gridCol w:w="3360"/>
        <w:gridCol w:w="3360"/>
      </w:tblGrid>
      <w:tr>
        <w:tc>
          <w:tcPr>
            <w:tcW w:type="dxa" w:w="2160"/>
            <w:shd w:fill="0A2540"/>
            <w:tcMar>
              <w:top w:w="100" w:type="dxa"/>
              <w:bottom w:w="100" w:type="dxa"/>
              <w:left w:w="120" w:type="dxa"/>
              <w:right w:w="120" w:type="dxa"/>
            </w:tcMar>
          </w:tcPr>
          <w:p>
            <w:pPr>
              <w:spacing w:before="40" w:after="40"/>
              <w:jc w:val="left"/>
            </w:pPr>
            <w:r>
              <w:rPr>
                <w:rFonts w:ascii="Calibri" w:hAnsi="Calibri"/>
                <w:b/>
                <w:color w:val="FFFFFF"/>
                <w:sz w:val="19"/>
              </w:rPr>
              <w:t>Entity Name</w:t>
            </w:r>
          </w:p>
        </w:tc>
        <w:tc>
          <w:tcPr>
            <w:tcW w:type="dxa" w:w="2592"/>
            <w:shd w:fill="0A2540"/>
            <w:tcMar>
              <w:top w:w="100" w:type="dxa"/>
              <w:bottom w:w="100" w:type="dxa"/>
              <w:left w:w="120" w:type="dxa"/>
              <w:right w:w="120" w:type="dxa"/>
            </w:tcMar>
          </w:tcPr>
          <w:p>
            <w:pPr>
              <w:spacing w:before="40" w:after="40"/>
              <w:jc w:val="left"/>
            </w:pPr>
            <w:r>
              <w:rPr>
                <w:rFonts w:ascii="Calibri" w:hAnsi="Calibri"/>
                <w:b/>
                <w:color w:val="FFFFFF"/>
                <w:sz w:val="19"/>
              </w:rPr>
              <w:t>Primary Attributes</w:t>
            </w:r>
          </w:p>
        </w:tc>
        <w:tc>
          <w:tcPr>
            <w:tcW w:type="dxa" w:w="5328"/>
            <w:shd w:fill="0A2540"/>
            <w:tcMar>
              <w:top w:w="100" w:type="dxa"/>
              <w:bottom w:w="100" w:type="dxa"/>
              <w:left w:w="120" w:type="dxa"/>
              <w:right w:w="120" w:type="dxa"/>
            </w:tcMar>
          </w:tcPr>
          <w:p>
            <w:pPr>
              <w:spacing w:before="40" w:after="40"/>
              <w:jc w:val="left"/>
            </w:pPr>
            <w:r>
              <w:rPr>
                <w:rFonts w:ascii="Calibri" w:hAnsi="Calibri"/>
                <w:b/>
                <w:color w:val="FFFFFF"/>
                <w:sz w:val="19"/>
              </w:rPr>
              <w:t>Business Logic &amp; Relationships</w:t>
            </w:r>
          </w:p>
        </w:tc>
      </w:tr>
      <w:tr>
        <w:tc>
          <w:tcPr>
            <w:tcW w:type="dxa" w:w="2160"/>
            <w:shd w:fill="FFFFFF"/>
            <w:tcMar>
              <w:top w:w="80" w:type="dxa"/>
              <w:bottom w:w="80" w:type="dxa"/>
              <w:left w:w="120" w:type="dxa"/>
              <w:right w:w="120" w:type="dxa"/>
            </w:tcMar>
          </w:tcPr>
          <w:p>
            <w:pPr>
              <w:spacing w:before="20" w:after="20"/>
              <w:jc w:val="left"/>
            </w:pPr>
            <w:r>
              <w:rPr>
                <w:rFonts w:ascii="Calibri" w:hAnsi="Calibri"/>
                <w:color w:val="1E293B"/>
                <w:sz w:val="18"/>
              </w:rPr>
              <w:t>institutions</w:t>
            </w:r>
          </w:p>
        </w:tc>
        <w:tc>
          <w:tcPr>
            <w:tcW w:type="dxa" w:w="2592"/>
            <w:shd w:fill="FFFFFF"/>
            <w:tcMar>
              <w:top w:w="80" w:type="dxa"/>
              <w:bottom w:w="80" w:type="dxa"/>
              <w:left w:w="120" w:type="dxa"/>
              <w:right w:w="120" w:type="dxa"/>
            </w:tcMar>
          </w:tcPr>
          <w:p>
            <w:pPr>
              <w:spacing w:before="20" w:after="20"/>
              <w:jc w:val="left"/>
            </w:pPr>
            <w:r>
              <w:rPr>
                <w:rFonts w:ascii="Calibri" w:hAnsi="Calibri"/>
                <w:color w:val="1E293B"/>
                <w:sz w:val="18"/>
              </w:rPr>
              <w:t>id, name, address, contact_email, phone, approved_status</w:t>
            </w:r>
          </w:p>
        </w:tc>
        <w:tc>
          <w:tcPr>
            <w:tcW w:type="dxa" w:w="5328"/>
            <w:shd w:fill="FFFFFF"/>
            <w:tcMar>
              <w:top w:w="80" w:type="dxa"/>
              <w:bottom w:w="80" w:type="dxa"/>
              <w:left w:w="120" w:type="dxa"/>
              <w:right w:w="120" w:type="dxa"/>
            </w:tcMar>
          </w:tcPr>
          <w:p>
            <w:pPr>
              <w:spacing w:before="20" w:after="20"/>
              <w:jc w:val="left"/>
            </w:pPr>
            <w:r>
              <w:rPr>
                <w:rFonts w:ascii="Calibri" w:hAnsi="Calibri"/>
                <w:color w:val="1E293B"/>
                <w:sz w:val="18"/>
              </w:rPr>
              <w:t>Stores accredited universities and colleges. Has many Users and FDRRecords.</w:t>
            </w:r>
          </w:p>
        </w:tc>
      </w:tr>
      <w:tr>
        <w:tc>
          <w:tcPr>
            <w:tcW w:type="dxa" w:w="2160"/>
            <w:shd w:fill="F8FAFC"/>
            <w:tcMar>
              <w:top w:w="80" w:type="dxa"/>
              <w:bottom w:w="80" w:type="dxa"/>
              <w:left w:w="120" w:type="dxa"/>
              <w:right w:w="120" w:type="dxa"/>
            </w:tcMar>
          </w:tcPr>
          <w:p>
            <w:pPr>
              <w:spacing w:before="20" w:after="20"/>
              <w:jc w:val="left"/>
            </w:pPr>
            <w:r>
              <w:rPr>
                <w:rFonts w:ascii="Calibri" w:hAnsi="Calibri"/>
                <w:color w:val="1E293B"/>
                <w:sz w:val="18"/>
              </w:rPr>
              <w:t>users</w:t>
            </w:r>
          </w:p>
        </w:tc>
        <w:tc>
          <w:tcPr>
            <w:tcW w:type="dxa" w:w="2592"/>
            <w:shd w:fill="F8FAFC"/>
            <w:tcMar>
              <w:top w:w="80" w:type="dxa"/>
              <w:bottom w:w="80" w:type="dxa"/>
              <w:left w:w="120" w:type="dxa"/>
              <w:right w:w="120" w:type="dxa"/>
            </w:tcMar>
          </w:tcPr>
          <w:p>
            <w:pPr>
              <w:spacing w:before="20" w:after="20"/>
              <w:jc w:val="left"/>
            </w:pPr>
            <w:r>
              <w:rPr>
                <w:rFonts w:ascii="Calibri" w:hAnsi="Calibri"/>
                <w:color w:val="1E293B"/>
                <w:sz w:val="18"/>
              </w:rPr>
              <w:t>id, name, email, password_hash, role, institution_id, is_active</w:t>
            </w:r>
          </w:p>
        </w:tc>
        <w:tc>
          <w:tcPr>
            <w:tcW w:type="dxa" w:w="5328"/>
            <w:shd w:fill="F8FAFC"/>
            <w:tcMar>
              <w:top w:w="80" w:type="dxa"/>
              <w:bottom w:w="80" w:type="dxa"/>
              <w:left w:w="120" w:type="dxa"/>
              <w:right w:w="120" w:type="dxa"/>
            </w:tcMar>
          </w:tcPr>
          <w:p>
            <w:pPr>
              <w:spacing w:before="20" w:after="20"/>
              <w:jc w:val="left"/>
            </w:pPr>
            <w:r>
              <w:rPr>
                <w:rFonts w:ascii="Calibri" w:hAnsi="Calibri"/>
                <w:color w:val="1E293B"/>
                <w:sz w:val="18"/>
              </w:rPr>
              <w:t>System actors. Role is ENUM('aicte_officer', 'institution_admin', 'auditor'). Belongs to Institution.</w:t>
            </w:r>
          </w:p>
        </w:tc>
      </w:tr>
      <w:tr>
        <w:tc>
          <w:tcPr>
            <w:tcW w:type="dxa" w:w="2160"/>
            <w:shd w:fill="FFFFFF"/>
            <w:tcMar>
              <w:top w:w="80" w:type="dxa"/>
              <w:bottom w:w="80" w:type="dxa"/>
              <w:left w:w="120" w:type="dxa"/>
              <w:right w:w="120" w:type="dxa"/>
            </w:tcMar>
          </w:tcPr>
          <w:p>
            <w:pPr>
              <w:spacing w:before="20" w:after="20"/>
              <w:jc w:val="left"/>
            </w:pPr>
            <w:r>
              <w:rPr>
                <w:rFonts w:ascii="Calibri" w:hAnsi="Calibri"/>
                <w:color w:val="1E293B"/>
                <w:sz w:val="18"/>
              </w:rPr>
              <w:t>fdr_records</w:t>
            </w:r>
          </w:p>
        </w:tc>
        <w:tc>
          <w:tcPr>
            <w:tcW w:type="dxa" w:w="2592"/>
            <w:shd w:fill="FFFFFF"/>
            <w:tcMar>
              <w:top w:w="80" w:type="dxa"/>
              <w:bottom w:w="80" w:type="dxa"/>
              <w:left w:w="120" w:type="dxa"/>
              <w:right w:w="120" w:type="dxa"/>
            </w:tcMar>
          </w:tcPr>
          <w:p>
            <w:pPr>
              <w:spacing w:before="20" w:after="20"/>
              <w:jc w:val="left"/>
            </w:pPr>
            <w:r>
              <w:rPr>
                <w:rFonts w:ascii="Calibri" w:hAnsi="Calibri"/>
                <w:color w:val="1E293B"/>
                <w:sz w:val="18"/>
              </w:rPr>
              <w:t>id, institution_id, bank_name, instrument_ref, amount, dates, status</w:t>
            </w:r>
          </w:p>
        </w:tc>
        <w:tc>
          <w:tcPr>
            <w:tcW w:type="dxa" w:w="5328"/>
            <w:shd w:fill="FFFFFF"/>
            <w:tcMar>
              <w:top w:w="80" w:type="dxa"/>
              <w:bottom w:w="80" w:type="dxa"/>
              <w:left w:w="120" w:type="dxa"/>
              <w:right w:w="120" w:type="dxa"/>
            </w:tcMar>
          </w:tcPr>
          <w:p>
            <w:pPr>
              <w:spacing w:before="20" w:after="20"/>
              <w:jc w:val="left"/>
            </w:pPr>
            <w:r>
              <w:rPr>
                <w:rFonts w:ascii="Calibri" w:hAnsi="Calibri"/>
                <w:color w:val="1E293B"/>
                <w:sz w:val="18"/>
              </w:rPr>
              <w:t>Core financial instrument record. Tracks bank, amounts, dates, and 7 lifecycle statuses.</w:t>
            </w:r>
          </w:p>
        </w:tc>
      </w:tr>
      <w:tr>
        <w:tc>
          <w:tcPr>
            <w:tcW w:type="dxa" w:w="2160"/>
            <w:shd w:fill="F8FAFC"/>
            <w:tcMar>
              <w:top w:w="80" w:type="dxa"/>
              <w:bottom w:w="80" w:type="dxa"/>
              <w:left w:w="120" w:type="dxa"/>
              <w:right w:w="120" w:type="dxa"/>
            </w:tcMar>
          </w:tcPr>
          <w:p>
            <w:pPr>
              <w:spacing w:before="20" w:after="20"/>
              <w:jc w:val="left"/>
            </w:pPr>
            <w:r>
              <w:rPr>
                <w:rFonts w:ascii="Calibri" w:hAnsi="Calibri"/>
                <w:color w:val="1E293B"/>
                <w:sz w:val="18"/>
              </w:rPr>
              <w:t>fdr_documents</w:t>
            </w:r>
          </w:p>
        </w:tc>
        <w:tc>
          <w:tcPr>
            <w:tcW w:type="dxa" w:w="2592"/>
            <w:shd w:fill="F8FAFC"/>
            <w:tcMar>
              <w:top w:w="80" w:type="dxa"/>
              <w:bottom w:w="80" w:type="dxa"/>
              <w:left w:w="120" w:type="dxa"/>
              <w:right w:w="120" w:type="dxa"/>
            </w:tcMar>
          </w:tcPr>
          <w:p>
            <w:pPr>
              <w:spacing w:before="20" w:after="20"/>
              <w:jc w:val="left"/>
            </w:pPr>
            <w:r>
              <w:rPr>
                <w:rFonts w:ascii="Calibri" w:hAnsi="Calibri"/>
                <w:color w:val="1E293B"/>
                <w:sz w:val="18"/>
              </w:rPr>
              <w:t>id, fdr_id, file_name, file_path, file_type, file_size, uploaded_by</w:t>
            </w:r>
          </w:p>
        </w:tc>
        <w:tc>
          <w:tcPr>
            <w:tcW w:type="dxa" w:w="5328"/>
            <w:shd w:fill="F8FAFC"/>
            <w:tcMar>
              <w:top w:w="80" w:type="dxa"/>
              <w:bottom w:w="80" w:type="dxa"/>
              <w:left w:w="120" w:type="dxa"/>
              <w:right w:w="120" w:type="dxa"/>
            </w:tcMar>
          </w:tcPr>
          <w:p>
            <w:pPr>
              <w:spacing w:before="20" w:after="20"/>
              <w:jc w:val="left"/>
            </w:pPr>
            <w:r>
              <w:rPr>
                <w:rFonts w:ascii="Calibri" w:hAnsi="Calibri"/>
                <w:color w:val="1E293B"/>
                <w:sz w:val="18"/>
              </w:rPr>
              <w:t>Stores scanned copy of FDR certificates and bank verification confirmation letters.</w:t>
            </w:r>
          </w:p>
        </w:tc>
      </w:tr>
      <w:tr>
        <w:tc>
          <w:tcPr>
            <w:tcW w:type="dxa" w:w="2160"/>
            <w:shd w:fill="FFFFFF"/>
            <w:tcMar>
              <w:top w:w="80" w:type="dxa"/>
              <w:bottom w:w="80" w:type="dxa"/>
              <w:left w:w="120" w:type="dxa"/>
              <w:right w:w="120" w:type="dxa"/>
            </w:tcMar>
          </w:tcPr>
          <w:p>
            <w:pPr>
              <w:spacing w:before="20" w:after="20"/>
              <w:jc w:val="left"/>
            </w:pPr>
            <w:r>
              <w:rPr>
                <w:rFonts w:ascii="Calibri" w:hAnsi="Calibri"/>
                <w:color w:val="1E293B"/>
                <w:sz w:val="18"/>
              </w:rPr>
              <w:t>audit_trail</w:t>
            </w:r>
          </w:p>
        </w:tc>
        <w:tc>
          <w:tcPr>
            <w:tcW w:type="dxa" w:w="2592"/>
            <w:shd w:fill="FFFFFF"/>
            <w:tcMar>
              <w:top w:w="80" w:type="dxa"/>
              <w:bottom w:w="80" w:type="dxa"/>
              <w:left w:w="120" w:type="dxa"/>
              <w:right w:w="120" w:type="dxa"/>
            </w:tcMar>
          </w:tcPr>
          <w:p>
            <w:pPr>
              <w:spacing w:before="20" w:after="20"/>
              <w:jc w:val="left"/>
            </w:pPr>
            <w:r>
              <w:rPr>
                <w:rFonts w:ascii="Calibri" w:hAnsi="Calibri"/>
                <w:color w:val="1E293B"/>
                <w:sz w:val="18"/>
              </w:rPr>
              <w:t>id, fdr_id, action, old_status, new_status, performed_by, notes</w:t>
            </w:r>
          </w:p>
        </w:tc>
        <w:tc>
          <w:tcPr>
            <w:tcW w:type="dxa" w:w="5328"/>
            <w:shd w:fill="FFFFFF"/>
            <w:tcMar>
              <w:top w:w="80" w:type="dxa"/>
              <w:bottom w:w="80" w:type="dxa"/>
              <w:left w:w="120" w:type="dxa"/>
              <w:right w:w="120" w:type="dxa"/>
            </w:tcMar>
          </w:tcPr>
          <w:p>
            <w:pPr>
              <w:spacing w:before="20" w:after="20"/>
              <w:jc w:val="left"/>
            </w:pPr>
            <w:r>
              <w:rPr>
                <w:rFonts w:ascii="Calibri" w:hAnsi="Calibri"/>
                <w:color w:val="1E293B"/>
                <w:sz w:val="18"/>
              </w:rPr>
              <w:t>Immutable compliance ledger capturing every state change, user login, and administrative action.</w:t>
            </w:r>
          </w:p>
        </w:tc>
      </w:tr>
      <w:tr>
        <w:tc>
          <w:tcPr>
            <w:tcW w:type="dxa" w:w="2160"/>
            <w:shd w:fill="F8FAFC"/>
            <w:tcMar>
              <w:top w:w="80" w:type="dxa"/>
              <w:bottom w:w="80" w:type="dxa"/>
              <w:left w:w="120" w:type="dxa"/>
              <w:right w:w="120" w:type="dxa"/>
            </w:tcMar>
          </w:tcPr>
          <w:p>
            <w:pPr>
              <w:spacing w:before="20" w:after="20"/>
              <w:jc w:val="left"/>
            </w:pPr>
            <w:r>
              <w:rPr>
                <w:rFonts w:ascii="Calibri" w:hAnsi="Calibri"/>
                <w:color w:val="1E293B"/>
                <w:sz w:val="18"/>
              </w:rPr>
              <w:t>verifications</w:t>
            </w:r>
          </w:p>
        </w:tc>
        <w:tc>
          <w:tcPr>
            <w:tcW w:type="dxa" w:w="2592"/>
            <w:shd w:fill="F8FAFC"/>
            <w:tcMar>
              <w:top w:w="80" w:type="dxa"/>
              <w:bottom w:w="80" w:type="dxa"/>
              <w:left w:w="120" w:type="dxa"/>
              <w:right w:w="120" w:type="dxa"/>
            </w:tcMar>
          </w:tcPr>
          <w:p>
            <w:pPr>
              <w:spacing w:before="20" w:after="20"/>
              <w:jc w:val="left"/>
            </w:pPr>
            <w:r>
              <w:rPr>
                <w:rFonts w:ascii="Calibri" w:hAnsi="Calibri"/>
                <w:color w:val="1E293B"/>
                <w:sz w:val="18"/>
              </w:rPr>
              <w:t>id, fdr_id, verified_by, verification_status, evidence_notes, verified_at</w:t>
            </w:r>
          </w:p>
        </w:tc>
        <w:tc>
          <w:tcPr>
            <w:tcW w:type="dxa" w:w="5328"/>
            <w:shd w:fill="F8FAFC"/>
            <w:tcMar>
              <w:top w:w="80" w:type="dxa"/>
              <w:bottom w:w="80" w:type="dxa"/>
              <w:left w:w="120" w:type="dxa"/>
              <w:right w:w="120" w:type="dxa"/>
            </w:tcMar>
          </w:tcPr>
          <w:p>
            <w:pPr>
              <w:spacing w:before="20" w:after="20"/>
              <w:jc w:val="left"/>
            </w:pPr>
            <w:r>
              <w:rPr>
                <w:rFonts w:ascii="Calibri" w:hAnsi="Calibri"/>
                <w:color w:val="1E293B"/>
                <w:sz w:val="18"/>
              </w:rPr>
              <w:t>Formal regulatory verification records with status ENUM('verified', 'discrepancy_found', etc.).</w:t>
            </w:r>
          </w:p>
        </w:tc>
      </w:tr>
      <w:tr>
        <w:tc>
          <w:tcPr>
            <w:tcW w:type="dxa" w:w="2160"/>
            <w:shd w:fill="FFFFFF"/>
            <w:tcMar>
              <w:top w:w="80" w:type="dxa"/>
              <w:bottom w:w="80" w:type="dxa"/>
              <w:left w:w="120" w:type="dxa"/>
              <w:right w:w="120" w:type="dxa"/>
            </w:tcMar>
          </w:tcPr>
          <w:p>
            <w:pPr>
              <w:spacing w:before="20" w:after="20"/>
              <w:jc w:val="left"/>
            </w:pPr>
            <w:r>
              <w:rPr>
                <w:rFonts w:ascii="Calibri" w:hAnsi="Calibri"/>
                <w:color w:val="1E293B"/>
                <w:sz w:val="18"/>
              </w:rPr>
              <w:t>alerts</w:t>
            </w:r>
          </w:p>
        </w:tc>
        <w:tc>
          <w:tcPr>
            <w:tcW w:type="dxa" w:w="2592"/>
            <w:shd w:fill="FFFFFF"/>
            <w:tcMar>
              <w:top w:w="80" w:type="dxa"/>
              <w:bottom w:w="80" w:type="dxa"/>
              <w:left w:w="120" w:type="dxa"/>
              <w:right w:w="120" w:type="dxa"/>
            </w:tcMar>
          </w:tcPr>
          <w:p>
            <w:pPr>
              <w:spacing w:before="20" w:after="20"/>
              <w:jc w:val="left"/>
            </w:pPr>
            <w:r>
              <w:rPr>
                <w:rFonts w:ascii="Calibri" w:hAnsi="Calibri"/>
                <w:color w:val="1E293B"/>
                <w:sz w:val="18"/>
              </w:rPr>
              <w:t>id, fdr_id, alert_type, recipient_email, scheduled_at, sent_at, status</w:t>
            </w:r>
          </w:p>
        </w:tc>
        <w:tc>
          <w:tcPr>
            <w:tcW w:type="dxa" w:w="5328"/>
            <w:shd w:fill="FFFFFF"/>
            <w:tcMar>
              <w:top w:w="80" w:type="dxa"/>
              <w:bottom w:w="80" w:type="dxa"/>
              <w:left w:w="120" w:type="dxa"/>
              <w:right w:w="120" w:type="dxa"/>
            </w:tcMar>
          </w:tcPr>
          <w:p>
            <w:pPr>
              <w:spacing w:before="20" w:after="20"/>
              <w:jc w:val="left"/>
            </w:pPr>
            <w:r>
              <w:rPr>
                <w:rFonts w:ascii="Calibri" w:hAnsi="Calibri"/>
                <w:color w:val="1E293B"/>
                <w:sz w:val="18"/>
              </w:rPr>
              <w:t>Scheduled and dispatched notifications for 90-day, 30-day, 7-day maturity warnings.</w:t>
            </w:r>
          </w:p>
        </w:tc>
      </w:tr>
    </w:tbl>
    <w:p>
      <w:pPr>
        <w:spacing w:before="0" w:after="120"/>
      </w:pPr>
    </w:p>
    <w:p>
      <w:pPr>
        <w:keepNext/>
        <w:spacing w:before="360" w:after="120"/>
      </w:pPr>
      <w:r>
        <w:rPr>
          <w:rFonts w:ascii="Calibri" w:hAnsi="Calibri"/>
          <w:b/>
          <w:color w:val="0A2540"/>
          <w:sz w:val="32"/>
        </w:rPr>
        <w:t>6. REST API Endpoints Catalogue</w:t>
      </w:r>
    </w:p>
    <w:tbl>
      <w:tblPr>
        <w:tblW w:type="auto" w:w="0"/>
        <w:jc w:val="left"/>
        <w:tblLayout w:type="fixed"/>
        <w:tblLook w:firstColumn="1" w:firstRow="1" w:lastColumn="0" w:lastRow="0" w:noHBand="0" w:noVBand="1" w:val="04A0"/>
      </w:tblPr>
      <w:tblGrid>
        <w:gridCol w:w="10080"/>
      </w:tblGrid>
      <w:tr>
        <w:tc>
          <w:tcPr>
            <w:tcW w:type="dxa" w:w="10080"/>
            <w:shd w:fill="0284C7"/>
            <w:tcMar>
              <w:top w:w="10" w:type="dxa"/>
              <w:bottom w:w="10" w:type="dxa"/>
              <w:left w:w="0" w:type="dxa"/>
              <w:right w:w="0" w:type="dxa"/>
            </w:tcMar>
          </w:tcPr>
          <w:p>
            <w:pPr>
              <w:spacing w:before="0" w:after="0"/>
            </w:pPr>
            <w:r>
              <w:rPr>
                <w:sz w:val="2"/>
              </w:rPr>
            </w:r>
          </w:p>
        </w:tc>
      </w:tr>
    </w:tbl>
    <w:p>
      <w:pPr>
        <w:spacing w:before="0" w:after="80"/>
      </w:pPr>
    </w:p>
    <w:tbl>
      <w:tblPr>
        <w:tblW w:type="auto" w:w="0"/>
        <w:jc w:val="center"/>
        <w:tblLayout w:type="fixed"/>
        <w:tblLook w:firstColumn="1" w:firstRow="1" w:lastColumn="0" w:lastRow="0" w:noHBand="0" w:noVBand="1" w:val="04A0"/>
        <w:tblBorders>
          <w:top w:val="single" w:sz="4" w:space="0" w:color="CBD5E1"/>
          <w:left w:val="none"/>
          <w:bottom w:val="single" w:sz="8" w:space="0" w:color="0A2540"/>
          <w:right w:val="none"/>
          <w:insideH w:val="single" w:sz="4" w:space="0" w:color="E2E8F0"/>
          <w:insideV w:val="none"/>
        </w:tblBorders>
      </w:tblPr>
      <w:tblGrid>
        <w:gridCol w:w="2520"/>
        <w:gridCol w:w="2520"/>
        <w:gridCol w:w="2520"/>
        <w:gridCol w:w="2520"/>
      </w:tblGrid>
      <w:tr>
        <w:tc>
          <w:tcPr>
            <w:tcW w:type="dxa" w:w="1440"/>
            <w:shd w:fill="0A2540"/>
            <w:tcMar>
              <w:top w:w="100" w:type="dxa"/>
              <w:bottom w:w="100" w:type="dxa"/>
              <w:left w:w="120" w:type="dxa"/>
              <w:right w:w="120" w:type="dxa"/>
            </w:tcMar>
          </w:tcPr>
          <w:p>
            <w:pPr>
              <w:spacing w:before="40" w:after="40"/>
              <w:jc w:val="left"/>
            </w:pPr>
            <w:r>
              <w:rPr>
                <w:rFonts w:ascii="Calibri" w:hAnsi="Calibri"/>
                <w:b/>
                <w:color w:val="FFFFFF"/>
                <w:sz w:val="19"/>
              </w:rPr>
              <w:t>Method</w:t>
            </w:r>
          </w:p>
        </w:tc>
        <w:tc>
          <w:tcPr>
            <w:tcW w:type="dxa" w:w="3600"/>
            <w:shd w:fill="0A2540"/>
            <w:tcMar>
              <w:top w:w="100" w:type="dxa"/>
              <w:bottom w:w="100" w:type="dxa"/>
              <w:left w:w="120" w:type="dxa"/>
              <w:right w:w="120" w:type="dxa"/>
            </w:tcMar>
          </w:tcPr>
          <w:p>
            <w:pPr>
              <w:spacing w:before="40" w:after="40"/>
              <w:jc w:val="left"/>
            </w:pPr>
            <w:r>
              <w:rPr>
                <w:rFonts w:ascii="Calibri" w:hAnsi="Calibri"/>
                <w:b/>
                <w:color w:val="FFFFFF"/>
                <w:sz w:val="19"/>
              </w:rPr>
              <w:t>Endpoint Path</w:t>
            </w:r>
          </w:p>
        </w:tc>
        <w:tc>
          <w:tcPr>
            <w:tcW w:type="dxa" w:w="1872"/>
            <w:shd w:fill="0A2540"/>
            <w:tcMar>
              <w:top w:w="100" w:type="dxa"/>
              <w:bottom w:w="100" w:type="dxa"/>
              <w:left w:w="120" w:type="dxa"/>
              <w:right w:w="120" w:type="dxa"/>
            </w:tcMar>
          </w:tcPr>
          <w:p>
            <w:pPr>
              <w:spacing w:before="40" w:after="40"/>
              <w:jc w:val="left"/>
            </w:pPr>
            <w:r>
              <w:rPr>
                <w:rFonts w:ascii="Calibri" w:hAnsi="Calibri"/>
                <w:b/>
                <w:color w:val="FFFFFF"/>
                <w:sz w:val="19"/>
              </w:rPr>
              <w:t>Access Role</w:t>
            </w:r>
          </w:p>
        </w:tc>
        <w:tc>
          <w:tcPr>
            <w:tcW w:type="dxa" w:w="3168"/>
            <w:shd w:fill="0A2540"/>
            <w:tcMar>
              <w:top w:w="100" w:type="dxa"/>
              <w:bottom w:w="100" w:type="dxa"/>
              <w:left w:w="120" w:type="dxa"/>
              <w:right w:w="120" w:type="dxa"/>
            </w:tcMar>
          </w:tcPr>
          <w:p>
            <w:pPr>
              <w:spacing w:before="40" w:after="40"/>
              <w:jc w:val="left"/>
            </w:pPr>
            <w:r>
              <w:rPr>
                <w:rFonts w:ascii="Calibri" w:hAnsi="Calibri"/>
                <w:b/>
                <w:color w:val="FFFFFF"/>
                <w:sz w:val="19"/>
              </w:rPr>
              <w:t>Functional Description</w:t>
            </w:r>
          </w:p>
        </w:tc>
      </w:tr>
      <w:tr>
        <w:tc>
          <w:tcPr>
            <w:tcW w:type="dxa" w:w="1440"/>
            <w:shd w:fill="FFFFFF"/>
            <w:tcMar>
              <w:top w:w="80" w:type="dxa"/>
              <w:bottom w:w="80" w:type="dxa"/>
              <w:left w:w="120" w:type="dxa"/>
              <w:right w:w="120" w:type="dxa"/>
            </w:tcMar>
          </w:tcPr>
          <w:p>
            <w:pPr>
              <w:spacing w:before="20" w:after="20"/>
              <w:jc w:val="left"/>
            </w:pPr>
            <w:r>
              <w:rPr>
                <w:rFonts w:ascii="Calibri" w:hAnsi="Calibri"/>
                <w:color w:val="1E293B"/>
                <w:sz w:val="18"/>
              </w:rPr>
              <w:t>POST</w:t>
            </w:r>
          </w:p>
        </w:tc>
        <w:tc>
          <w:tcPr>
            <w:tcW w:type="dxa" w:w="3600"/>
            <w:shd w:fill="FFFFFF"/>
            <w:tcMar>
              <w:top w:w="80" w:type="dxa"/>
              <w:bottom w:w="80" w:type="dxa"/>
              <w:left w:w="120" w:type="dxa"/>
              <w:right w:w="120" w:type="dxa"/>
            </w:tcMar>
          </w:tcPr>
          <w:p>
            <w:pPr>
              <w:spacing w:before="20" w:after="20"/>
              <w:jc w:val="left"/>
            </w:pPr>
            <w:r>
              <w:rPr>
                <w:rFonts w:ascii="Calibri" w:hAnsi="Calibri"/>
                <w:color w:val="1E293B"/>
                <w:sz w:val="18"/>
              </w:rPr>
              <w:t>/api/auth/login</w:t>
            </w:r>
          </w:p>
        </w:tc>
        <w:tc>
          <w:tcPr>
            <w:tcW w:type="dxa" w:w="1872"/>
            <w:shd w:fill="FFFFFF"/>
            <w:tcMar>
              <w:top w:w="80" w:type="dxa"/>
              <w:bottom w:w="80" w:type="dxa"/>
              <w:left w:w="120" w:type="dxa"/>
              <w:right w:w="120" w:type="dxa"/>
            </w:tcMar>
          </w:tcPr>
          <w:p>
            <w:pPr>
              <w:spacing w:before="20" w:after="20"/>
              <w:jc w:val="left"/>
            </w:pPr>
            <w:r>
              <w:rPr>
                <w:rFonts w:ascii="Calibri" w:hAnsi="Calibri"/>
                <w:color w:val="1E293B"/>
                <w:sz w:val="18"/>
              </w:rPr>
              <w:t>Public</w:t>
            </w:r>
          </w:p>
        </w:tc>
        <w:tc>
          <w:tcPr>
            <w:tcW w:type="dxa" w:w="3168"/>
            <w:shd w:fill="FFFFFF"/>
            <w:tcMar>
              <w:top w:w="80" w:type="dxa"/>
              <w:bottom w:w="80" w:type="dxa"/>
              <w:left w:w="120" w:type="dxa"/>
              <w:right w:w="120" w:type="dxa"/>
            </w:tcMar>
          </w:tcPr>
          <w:p>
            <w:pPr>
              <w:spacing w:before="20" w:after="20"/>
              <w:jc w:val="left"/>
            </w:pPr>
            <w:r>
              <w:rPr>
                <w:rFonts w:ascii="Calibri" w:hAnsi="Calibri"/>
                <w:color w:val="1E293B"/>
                <w:sz w:val="18"/>
              </w:rPr>
              <w:t>Authenticates user credentials, generates JWT token, and logs login action.</w:t>
            </w:r>
          </w:p>
        </w:tc>
      </w:tr>
      <w:tr>
        <w:tc>
          <w:tcPr>
            <w:tcW w:type="dxa" w:w="1440"/>
            <w:shd w:fill="F8FAFC"/>
            <w:tcMar>
              <w:top w:w="80" w:type="dxa"/>
              <w:bottom w:w="80" w:type="dxa"/>
              <w:left w:w="120" w:type="dxa"/>
              <w:right w:w="120" w:type="dxa"/>
            </w:tcMar>
          </w:tcPr>
          <w:p>
            <w:pPr>
              <w:spacing w:before="20" w:after="20"/>
              <w:jc w:val="left"/>
            </w:pPr>
            <w:r>
              <w:rPr>
                <w:rFonts w:ascii="Calibri" w:hAnsi="Calibri"/>
                <w:color w:val="1E293B"/>
                <w:sz w:val="18"/>
              </w:rPr>
              <w:t>GET</w:t>
            </w:r>
          </w:p>
        </w:tc>
        <w:tc>
          <w:tcPr>
            <w:tcW w:type="dxa" w:w="3600"/>
            <w:shd w:fill="F8FAFC"/>
            <w:tcMar>
              <w:top w:w="80" w:type="dxa"/>
              <w:bottom w:w="80" w:type="dxa"/>
              <w:left w:w="120" w:type="dxa"/>
              <w:right w:w="120" w:type="dxa"/>
            </w:tcMar>
          </w:tcPr>
          <w:p>
            <w:pPr>
              <w:spacing w:before="20" w:after="20"/>
              <w:jc w:val="left"/>
            </w:pPr>
            <w:r>
              <w:rPr>
                <w:rFonts w:ascii="Calibri" w:hAnsi="Calibri"/>
                <w:color w:val="1E293B"/>
                <w:sz w:val="18"/>
              </w:rPr>
              <w:t>/api/auth/me</w:t>
            </w:r>
          </w:p>
        </w:tc>
        <w:tc>
          <w:tcPr>
            <w:tcW w:type="dxa" w:w="1872"/>
            <w:shd w:fill="F8FAFC"/>
            <w:tcMar>
              <w:top w:w="80" w:type="dxa"/>
              <w:bottom w:w="80" w:type="dxa"/>
              <w:left w:w="120" w:type="dxa"/>
              <w:right w:w="120" w:type="dxa"/>
            </w:tcMar>
          </w:tcPr>
          <w:p>
            <w:pPr>
              <w:spacing w:before="20" w:after="20"/>
              <w:jc w:val="left"/>
            </w:pPr>
            <w:r>
              <w:rPr>
                <w:rFonts w:ascii="Calibri" w:hAnsi="Calibri"/>
                <w:color w:val="1E293B"/>
                <w:sz w:val="18"/>
              </w:rPr>
              <w:t>Authenticated</w:t>
            </w:r>
          </w:p>
        </w:tc>
        <w:tc>
          <w:tcPr>
            <w:tcW w:type="dxa" w:w="3168"/>
            <w:shd w:fill="F8FAFC"/>
            <w:tcMar>
              <w:top w:w="80" w:type="dxa"/>
              <w:bottom w:w="80" w:type="dxa"/>
              <w:left w:w="120" w:type="dxa"/>
              <w:right w:w="120" w:type="dxa"/>
            </w:tcMar>
          </w:tcPr>
          <w:p>
            <w:pPr>
              <w:spacing w:before="20" w:after="20"/>
              <w:jc w:val="left"/>
            </w:pPr>
            <w:r>
              <w:rPr>
                <w:rFonts w:ascii="Calibri" w:hAnsi="Calibri"/>
                <w:color w:val="1E293B"/>
                <w:sz w:val="18"/>
              </w:rPr>
              <w:t>Returns authenticated user profile, assigned role, and institution affiliation.</w:t>
            </w:r>
          </w:p>
        </w:tc>
      </w:tr>
      <w:tr>
        <w:tc>
          <w:tcPr>
            <w:tcW w:type="dxa" w:w="1440"/>
            <w:shd w:fill="FFFFFF"/>
            <w:tcMar>
              <w:top w:w="80" w:type="dxa"/>
              <w:bottom w:w="80" w:type="dxa"/>
              <w:left w:w="120" w:type="dxa"/>
              <w:right w:w="120" w:type="dxa"/>
            </w:tcMar>
          </w:tcPr>
          <w:p>
            <w:pPr>
              <w:spacing w:before="20" w:after="20"/>
              <w:jc w:val="left"/>
            </w:pPr>
            <w:r>
              <w:rPr>
                <w:rFonts w:ascii="Calibri" w:hAnsi="Calibri"/>
                <w:color w:val="1E293B"/>
                <w:sz w:val="18"/>
              </w:rPr>
              <w:t>GET</w:t>
            </w:r>
          </w:p>
        </w:tc>
        <w:tc>
          <w:tcPr>
            <w:tcW w:type="dxa" w:w="3600"/>
            <w:shd w:fill="FFFFFF"/>
            <w:tcMar>
              <w:top w:w="80" w:type="dxa"/>
              <w:bottom w:w="80" w:type="dxa"/>
              <w:left w:w="120" w:type="dxa"/>
              <w:right w:w="120" w:type="dxa"/>
            </w:tcMar>
          </w:tcPr>
          <w:p>
            <w:pPr>
              <w:spacing w:before="20" w:after="20"/>
              <w:jc w:val="left"/>
            </w:pPr>
            <w:r>
              <w:rPr>
                <w:rFonts w:ascii="Calibri" w:hAnsi="Calibri"/>
                <w:color w:val="1E293B"/>
                <w:sz w:val="18"/>
              </w:rPr>
              <w:t>/api/fdrs/stats</w:t>
            </w:r>
          </w:p>
        </w:tc>
        <w:tc>
          <w:tcPr>
            <w:tcW w:type="dxa" w:w="1872"/>
            <w:shd w:fill="FFFFFF"/>
            <w:tcMar>
              <w:top w:w="80" w:type="dxa"/>
              <w:bottom w:w="80" w:type="dxa"/>
              <w:left w:w="120" w:type="dxa"/>
              <w:right w:w="120" w:type="dxa"/>
            </w:tcMar>
          </w:tcPr>
          <w:p>
            <w:pPr>
              <w:spacing w:before="20" w:after="20"/>
              <w:jc w:val="left"/>
            </w:pPr>
            <w:r>
              <w:rPr>
                <w:rFonts w:ascii="Calibri" w:hAnsi="Calibri"/>
                <w:color w:val="1E293B"/>
                <w:sz w:val="18"/>
              </w:rPr>
              <w:t>Authenticated</w:t>
            </w:r>
          </w:p>
        </w:tc>
        <w:tc>
          <w:tcPr>
            <w:tcW w:type="dxa" w:w="3168"/>
            <w:shd w:fill="FFFFFF"/>
            <w:tcMar>
              <w:top w:w="80" w:type="dxa"/>
              <w:bottom w:w="80" w:type="dxa"/>
              <w:left w:w="120" w:type="dxa"/>
              <w:right w:w="120" w:type="dxa"/>
            </w:tcMar>
          </w:tcPr>
          <w:p>
            <w:pPr>
              <w:spacing w:before="20" w:after="20"/>
              <w:jc w:val="left"/>
            </w:pPr>
            <w:r>
              <w:rPr>
                <w:rFonts w:ascii="Calibri" w:hAnsi="Calibri"/>
                <w:color w:val="1E293B"/>
                <w:sz w:val="18"/>
              </w:rPr>
              <w:t>Calculates aggregated portfolio statistics (Total Value, Pending, Maturing, Counts).</w:t>
            </w:r>
          </w:p>
        </w:tc>
      </w:tr>
      <w:tr>
        <w:tc>
          <w:tcPr>
            <w:tcW w:type="dxa" w:w="1440"/>
            <w:shd w:fill="F8FAFC"/>
            <w:tcMar>
              <w:top w:w="80" w:type="dxa"/>
              <w:bottom w:w="80" w:type="dxa"/>
              <w:left w:w="120" w:type="dxa"/>
              <w:right w:w="120" w:type="dxa"/>
            </w:tcMar>
          </w:tcPr>
          <w:p>
            <w:pPr>
              <w:spacing w:before="20" w:after="20"/>
              <w:jc w:val="left"/>
            </w:pPr>
            <w:r>
              <w:rPr>
                <w:rFonts w:ascii="Calibri" w:hAnsi="Calibri"/>
                <w:color w:val="1E293B"/>
                <w:sz w:val="18"/>
              </w:rPr>
              <w:t>GET</w:t>
            </w:r>
          </w:p>
        </w:tc>
        <w:tc>
          <w:tcPr>
            <w:tcW w:type="dxa" w:w="3600"/>
            <w:shd w:fill="F8FAFC"/>
            <w:tcMar>
              <w:top w:w="80" w:type="dxa"/>
              <w:bottom w:w="80" w:type="dxa"/>
              <w:left w:w="120" w:type="dxa"/>
              <w:right w:w="120" w:type="dxa"/>
            </w:tcMar>
          </w:tcPr>
          <w:p>
            <w:pPr>
              <w:spacing w:before="20" w:after="20"/>
              <w:jc w:val="left"/>
            </w:pPr>
            <w:r>
              <w:rPr>
                <w:rFonts w:ascii="Calibri" w:hAnsi="Calibri"/>
                <w:color w:val="1E293B"/>
                <w:sz w:val="18"/>
              </w:rPr>
              <w:t>/api/fdrs</w:t>
            </w:r>
          </w:p>
        </w:tc>
        <w:tc>
          <w:tcPr>
            <w:tcW w:type="dxa" w:w="1872"/>
            <w:shd w:fill="F8FAFC"/>
            <w:tcMar>
              <w:top w:w="80" w:type="dxa"/>
              <w:bottom w:w="80" w:type="dxa"/>
              <w:left w:w="120" w:type="dxa"/>
              <w:right w:w="120" w:type="dxa"/>
            </w:tcMar>
          </w:tcPr>
          <w:p>
            <w:pPr>
              <w:spacing w:before="20" w:after="20"/>
              <w:jc w:val="left"/>
            </w:pPr>
            <w:r>
              <w:rPr>
                <w:rFonts w:ascii="Calibri" w:hAnsi="Calibri"/>
                <w:color w:val="1E293B"/>
                <w:sz w:val="18"/>
              </w:rPr>
              <w:t>Authenticated</w:t>
            </w:r>
          </w:p>
        </w:tc>
        <w:tc>
          <w:tcPr>
            <w:tcW w:type="dxa" w:w="3168"/>
            <w:shd w:fill="F8FAFC"/>
            <w:tcMar>
              <w:top w:w="80" w:type="dxa"/>
              <w:bottom w:w="80" w:type="dxa"/>
              <w:left w:w="120" w:type="dxa"/>
              <w:right w:w="120" w:type="dxa"/>
            </w:tcMar>
          </w:tcPr>
          <w:p>
            <w:pPr>
              <w:spacing w:before="20" w:after="20"/>
              <w:jc w:val="left"/>
            </w:pPr>
            <w:r>
              <w:rPr>
                <w:rFonts w:ascii="Calibri" w:hAnsi="Calibri"/>
                <w:color w:val="1E293B"/>
                <w:sz w:val="18"/>
              </w:rPr>
              <w:t>Returns filtered, searched, and paginated FDR records scoped by user role.</w:t>
            </w:r>
          </w:p>
        </w:tc>
      </w:tr>
      <w:tr>
        <w:tc>
          <w:tcPr>
            <w:tcW w:type="dxa" w:w="1440"/>
            <w:shd w:fill="FFFFFF"/>
            <w:tcMar>
              <w:top w:w="80" w:type="dxa"/>
              <w:bottom w:w="80" w:type="dxa"/>
              <w:left w:w="120" w:type="dxa"/>
              <w:right w:w="120" w:type="dxa"/>
            </w:tcMar>
          </w:tcPr>
          <w:p>
            <w:pPr>
              <w:spacing w:before="20" w:after="20"/>
              <w:jc w:val="left"/>
            </w:pPr>
            <w:r>
              <w:rPr>
                <w:rFonts w:ascii="Calibri" w:hAnsi="Calibri"/>
                <w:color w:val="1E293B"/>
                <w:sz w:val="18"/>
              </w:rPr>
              <w:t>POST</w:t>
            </w:r>
          </w:p>
        </w:tc>
        <w:tc>
          <w:tcPr>
            <w:tcW w:type="dxa" w:w="3600"/>
            <w:shd w:fill="FFFFFF"/>
            <w:tcMar>
              <w:top w:w="80" w:type="dxa"/>
              <w:bottom w:w="80" w:type="dxa"/>
              <w:left w:w="120" w:type="dxa"/>
              <w:right w:w="120" w:type="dxa"/>
            </w:tcMar>
          </w:tcPr>
          <w:p>
            <w:pPr>
              <w:spacing w:before="20" w:after="20"/>
              <w:jc w:val="left"/>
            </w:pPr>
            <w:r>
              <w:rPr>
                <w:rFonts w:ascii="Calibri" w:hAnsi="Calibri"/>
                <w:color w:val="1E293B"/>
                <w:sz w:val="18"/>
              </w:rPr>
              <w:t>/api/fdrs</w:t>
            </w:r>
          </w:p>
        </w:tc>
        <w:tc>
          <w:tcPr>
            <w:tcW w:type="dxa" w:w="1872"/>
            <w:shd w:fill="FFFFFF"/>
            <w:tcMar>
              <w:top w:w="80" w:type="dxa"/>
              <w:bottom w:w="80" w:type="dxa"/>
              <w:left w:w="120" w:type="dxa"/>
              <w:right w:w="120" w:type="dxa"/>
            </w:tcMar>
          </w:tcPr>
          <w:p>
            <w:pPr>
              <w:spacing w:before="20" w:after="20"/>
              <w:jc w:val="left"/>
            </w:pPr>
            <w:r>
              <w:rPr>
                <w:rFonts w:ascii="Calibri" w:hAnsi="Calibri"/>
                <w:color w:val="1E293B"/>
                <w:sz w:val="18"/>
              </w:rPr>
              <w:t>Institution / Officer</w:t>
            </w:r>
          </w:p>
        </w:tc>
        <w:tc>
          <w:tcPr>
            <w:tcW w:type="dxa" w:w="3168"/>
            <w:shd w:fill="FFFFFF"/>
            <w:tcMar>
              <w:top w:w="80" w:type="dxa"/>
              <w:bottom w:w="80" w:type="dxa"/>
              <w:left w:w="120" w:type="dxa"/>
              <w:right w:w="120" w:type="dxa"/>
            </w:tcMar>
          </w:tcPr>
          <w:p>
            <w:pPr>
              <w:spacing w:before="20" w:after="20"/>
              <w:jc w:val="left"/>
            </w:pPr>
            <w:r>
              <w:rPr>
                <w:rFonts w:ascii="Calibri" w:hAnsi="Calibri"/>
                <w:color w:val="1E293B"/>
                <w:sz w:val="18"/>
              </w:rPr>
              <w:t>Registers fresh FDR record and initiates verification stage.</w:t>
            </w:r>
          </w:p>
        </w:tc>
      </w:tr>
      <w:tr>
        <w:tc>
          <w:tcPr>
            <w:tcW w:type="dxa" w:w="1440"/>
            <w:shd w:fill="F8FAFC"/>
            <w:tcMar>
              <w:top w:w="80" w:type="dxa"/>
              <w:bottom w:w="80" w:type="dxa"/>
              <w:left w:w="120" w:type="dxa"/>
              <w:right w:w="120" w:type="dxa"/>
            </w:tcMar>
          </w:tcPr>
          <w:p>
            <w:pPr>
              <w:spacing w:before="20" w:after="20"/>
              <w:jc w:val="left"/>
            </w:pPr>
            <w:r>
              <w:rPr>
                <w:rFonts w:ascii="Calibri" w:hAnsi="Calibri"/>
                <w:color w:val="1E293B"/>
                <w:sz w:val="18"/>
              </w:rPr>
              <w:t>GET</w:t>
            </w:r>
          </w:p>
        </w:tc>
        <w:tc>
          <w:tcPr>
            <w:tcW w:type="dxa" w:w="3600"/>
            <w:shd w:fill="F8FAFC"/>
            <w:tcMar>
              <w:top w:w="80" w:type="dxa"/>
              <w:bottom w:w="80" w:type="dxa"/>
              <w:left w:w="120" w:type="dxa"/>
              <w:right w:w="120" w:type="dxa"/>
            </w:tcMar>
          </w:tcPr>
          <w:p>
            <w:pPr>
              <w:spacing w:before="20" w:after="20"/>
              <w:jc w:val="left"/>
            </w:pPr>
            <w:r>
              <w:rPr>
                <w:rFonts w:ascii="Calibri" w:hAnsi="Calibri"/>
                <w:color w:val="1E293B"/>
                <w:sz w:val="18"/>
              </w:rPr>
              <w:t>/api/fdrs/:id</w:t>
            </w:r>
          </w:p>
        </w:tc>
        <w:tc>
          <w:tcPr>
            <w:tcW w:type="dxa" w:w="1872"/>
            <w:shd w:fill="F8FAFC"/>
            <w:tcMar>
              <w:top w:w="80" w:type="dxa"/>
              <w:bottom w:w="80" w:type="dxa"/>
              <w:left w:w="120" w:type="dxa"/>
              <w:right w:w="120" w:type="dxa"/>
            </w:tcMar>
          </w:tcPr>
          <w:p>
            <w:pPr>
              <w:spacing w:before="20" w:after="20"/>
              <w:jc w:val="left"/>
            </w:pPr>
            <w:r>
              <w:rPr>
                <w:rFonts w:ascii="Calibri" w:hAnsi="Calibri"/>
                <w:color w:val="1E293B"/>
                <w:sz w:val="18"/>
              </w:rPr>
              <w:t>Authenticated</w:t>
            </w:r>
          </w:p>
        </w:tc>
        <w:tc>
          <w:tcPr>
            <w:tcW w:type="dxa" w:w="3168"/>
            <w:shd w:fill="F8FAFC"/>
            <w:tcMar>
              <w:top w:w="80" w:type="dxa"/>
              <w:bottom w:w="80" w:type="dxa"/>
              <w:left w:w="120" w:type="dxa"/>
              <w:right w:w="120" w:type="dxa"/>
            </w:tcMar>
          </w:tcPr>
          <w:p>
            <w:pPr>
              <w:spacing w:before="20" w:after="20"/>
              <w:jc w:val="left"/>
            </w:pPr>
            <w:r>
              <w:rPr>
                <w:rFonts w:ascii="Calibri" w:hAnsi="Calibri"/>
                <w:color w:val="1E293B"/>
                <w:sz w:val="18"/>
              </w:rPr>
              <w:t>Retrieves complete FDR instrument dossier, documents, and audit trail.</w:t>
            </w:r>
          </w:p>
        </w:tc>
      </w:tr>
      <w:tr>
        <w:tc>
          <w:tcPr>
            <w:tcW w:type="dxa" w:w="1440"/>
            <w:shd w:fill="FFFFFF"/>
            <w:tcMar>
              <w:top w:w="80" w:type="dxa"/>
              <w:bottom w:w="80" w:type="dxa"/>
              <w:left w:w="120" w:type="dxa"/>
              <w:right w:w="120" w:type="dxa"/>
            </w:tcMar>
          </w:tcPr>
          <w:p>
            <w:pPr>
              <w:spacing w:before="20" w:after="20"/>
              <w:jc w:val="left"/>
            </w:pPr>
            <w:r>
              <w:rPr>
                <w:rFonts w:ascii="Calibri" w:hAnsi="Calibri"/>
                <w:color w:val="1E293B"/>
                <w:sz w:val="18"/>
              </w:rPr>
              <w:t>PUT</w:t>
            </w:r>
          </w:p>
        </w:tc>
        <w:tc>
          <w:tcPr>
            <w:tcW w:type="dxa" w:w="3600"/>
            <w:shd w:fill="FFFFFF"/>
            <w:tcMar>
              <w:top w:w="80" w:type="dxa"/>
              <w:bottom w:w="80" w:type="dxa"/>
              <w:left w:w="120" w:type="dxa"/>
              <w:right w:w="120" w:type="dxa"/>
            </w:tcMar>
          </w:tcPr>
          <w:p>
            <w:pPr>
              <w:spacing w:before="20" w:after="20"/>
              <w:jc w:val="left"/>
            </w:pPr>
            <w:r>
              <w:rPr>
                <w:rFonts w:ascii="Calibri" w:hAnsi="Calibri"/>
                <w:color w:val="1E293B"/>
                <w:sz w:val="18"/>
              </w:rPr>
              <w:t>/api/fdrs/:id/status</w:t>
            </w:r>
          </w:p>
        </w:tc>
        <w:tc>
          <w:tcPr>
            <w:tcW w:type="dxa" w:w="1872"/>
            <w:shd w:fill="FFFFFF"/>
            <w:tcMar>
              <w:top w:w="80" w:type="dxa"/>
              <w:bottom w:w="80" w:type="dxa"/>
              <w:left w:w="120" w:type="dxa"/>
              <w:right w:w="120" w:type="dxa"/>
            </w:tcMar>
          </w:tcPr>
          <w:p>
            <w:pPr>
              <w:spacing w:before="20" w:after="20"/>
              <w:jc w:val="left"/>
            </w:pPr>
            <w:r>
              <w:rPr>
                <w:rFonts w:ascii="Calibri" w:hAnsi="Calibri"/>
                <w:color w:val="1E293B"/>
                <w:sz w:val="18"/>
              </w:rPr>
              <w:t>Officer / Inst. Admin</w:t>
            </w:r>
          </w:p>
        </w:tc>
        <w:tc>
          <w:tcPr>
            <w:tcW w:type="dxa" w:w="3168"/>
            <w:shd w:fill="FFFFFF"/>
            <w:tcMar>
              <w:top w:w="80" w:type="dxa"/>
              <w:bottom w:w="80" w:type="dxa"/>
              <w:left w:w="120" w:type="dxa"/>
              <w:right w:w="120" w:type="dxa"/>
            </w:tcMar>
          </w:tcPr>
          <w:p>
            <w:pPr>
              <w:spacing w:before="20" w:after="20"/>
              <w:jc w:val="left"/>
            </w:pPr>
            <w:r>
              <w:rPr>
                <w:rFonts w:ascii="Calibri" w:hAnsi="Calibri"/>
                <w:color w:val="1E293B"/>
                <w:sz w:val="18"/>
              </w:rPr>
              <w:t>Executes authorized state transition with mandatory rationale.</w:t>
            </w:r>
          </w:p>
        </w:tc>
      </w:tr>
      <w:tr>
        <w:tc>
          <w:tcPr>
            <w:tcW w:type="dxa" w:w="1440"/>
            <w:shd w:fill="F8FAFC"/>
            <w:tcMar>
              <w:top w:w="80" w:type="dxa"/>
              <w:bottom w:w="80" w:type="dxa"/>
              <w:left w:w="120" w:type="dxa"/>
              <w:right w:w="120" w:type="dxa"/>
            </w:tcMar>
          </w:tcPr>
          <w:p>
            <w:pPr>
              <w:spacing w:before="20" w:after="20"/>
              <w:jc w:val="left"/>
            </w:pPr>
            <w:r>
              <w:rPr>
                <w:rFonts w:ascii="Calibri" w:hAnsi="Calibri"/>
                <w:color w:val="1E293B"/>
                <w:sz w:val="18"/>
              </w:rPr>
              <w:t>POST</w:t>
            </w:r>
          </w:p>
        </w:tc>
        <w:tc>
          <w:tcPr>
            <w:tcW w:type="dxa" w:w="3600"/>
            <w:shd w:fill="F8FAFC"/>
            <w:tcMar>
              <w:top w:w="80" w:type="dxa"/>
              <w:bottom w:w="80" w:type="dxa"/>
              <w:left w:w="120" w:type="dxa"/>
              <w:right w:w="120" w:type="dxa"/>
            </w:tcMar>
          </w:tcPr>
          <w:p>
            <w:pPr>
              <w:spacing w:before="20" w:after="20"/>
              <w:jc w:val="left"/>
            </w:pPr>
            <w:r>
              <w:rPr>
                <w:rFonts w:ascii="Calibri" w:hAnsi="Calibri"/>
                <w:color w:val="1E293B"/>
                <w:sz w:val="18"/>
              </w:rPr>
              <w:t>/api/fdrs/:id/verify</w:t>
            </w:r>
          </w:p>
        </w:tc>
        <w:tc>
          <w:tcPr>
            <w:tcW w:type="dxa" w:w="1872"/>
            <w:shd w:fill="F8FAFC"/>
            <w:tcMar>
              <w:top w:w="80" w:type="dxa"/>
              <w:bottom w:w="80" w:type="dxa"/>
              <w:left w:w="120" w:type="dxa"/>
              <w:right w:w="120" w:type="dxa"/>
            </w:tcMar>
          </w:tcPr>
          <w:p>
            <w:pPr>
              <w:spacing w:before="20" w:after="20"/>
              <w:jc w:val="left"/>
            </w:pPr>
            <w:r>
              <w:rPr>
                <w:rFonts w:ascii="Calibri" w:hAnsi="Calibri"/>
                <w:color w:val="1E293B"/>
                <w:sz w:val="18"/>
              </w:rPr>
              <w:t>AICTE Officer Only</w:t>
            </w:r>
          </w:p>
        </w:tc>
        <w:tc>
          <w:tcPr>
            <w:tcW w:type="dxa" w:w="3168"/>
            <w:shd w:fill="F8FAFC"/>
            <w:tcMar>
              <w:top w:w="80" w:type="dxa"/>
              <w:bottom w:w="80" w:type="dxa"/>
              <w:left w:w="120" w:type="dxa"/>
              <w:right w:w="120" w:type="dxa"/>
            </w:tcMar>
          </w:tcPr>
          <w:p>
            <w:pPr>
              <w:spacing w:before="20" w:after="20"/>
              <w:jc w:val="left"/>
            </w:pPr>
            <w:r>
              <w:rPr>
                <w:rFonts w:ascii="Calibri" w:hAnsi="Calibri"/>
                <w:color w:val="1E293B"/>
                <w:sz w:val="18"/>
              </w:rPr>
              <w:t>Submits formal officer verification findings (verified, discrepancy, etc.).</w:t>
            </w:r>
          </w:p>
        </w:tc>
      </w:tr>
      <w:tr>
        <w:tc>
          <w:tcPr>
            <w:tcW w:type="dxa" w:w="1440"/>
            <w:shd w:fill="FFFFFF"/>
            <w:tcMar>
              <w:top w:w="80" w:type="dxa"/>
              <w:bottom w:w="80" w:type="dxa"/>
              <w:left w:w="120" w:type="dxa"/>
              <w:right w:w="120" w:type="dxa"/>
            </w:tcMar>
          </w:tcPr>
          <w:p>
            <w:pPr>
              <w:spacing w:before="20" w:after="20"/>
              <w:jc w:val="left"/>
            </w:pPr>
            <w:r>
              <w:rPr>
                <w:rFonts w:ascii="Calibri" w:hAnsi="Calibri"/>
                <w:color w:val="1E293B"/>
                <w:sz w:val="18"/>
              </w:rPr>
              <w:t>POST</w:t>
            </w:r>
          </w:p>
        </w:tc>
        <w:tc>
          <w:tcPr>
            <w:tcW w:type="dxa" w:w="3600"/>
            <w:shd w:fill="FFFFFF"/>
            <w:tcMar>
              <w:top w:w="80" w:type="dxa"/>
              <w:bottom w:w="80" w:type="dxa"/>
              <w:left w:w="120" w:type="dxa"/>
              <w:right w:w="120" w:type="dxa"/>
            </w:tcMar>
          </w:tcPr>
          <w:p>
            <w:pPr>
              <w:spacing w:before="20" w:after="20"/>
              <w:jc w:val="left"/>
            </w:pPr>
            <w:r>
              <w:rPr>
                <w:rFonts w:ascii="Calibri" w:hAnsi="Calibri"/>
                <w:color w:val="1E293B"/>
                <w:sz w:val="18"/>
              </w:rPr>
              <w:t>/api/fdrs/:id/documents</w:t>
            </w:r>
          </w:p>
        </w:tc>
        <w:tc>
          <w:tcPr>
            <w:tcW w:type="dxa" w:w="1872"/>
            <w:shd w:fill="FFFFFF"/>
            <w:tcMar>
              <w:top w:w="80" w:type="dxa"/>
              <w:bottom w:w="80" w:type="dxa"/>
              <w:left w:w="120" w:type="dxa"/>
              <w:right w:w="120" w:type="dxa"/>
            </w:tcMar>
          </w:tcPr>
          <w:p>
            <w:pPr>
              <w:spacing w:before="20" w:after="20"/>
              <w:jc w:val="left"/>
            </w:pPr>
            <w:r>
              <w:rPr>
                <w:rFonts w:ascii="Calibri" w:hAnsi="Calibri"/>
                <w:color w:val="1E293B"/>
                <w:sz w:val="18"/>
              </w:rPr>
              <w:t>Authenticated</w:t>
            </w:r>
          </w:p>
        </w:tc>
        <w:tc>
          <w:tcPr>
            <w:tcW w:type="dxa" w:w="3168"/>
            <w:shd w:fill="FFFFFF"/>
            <w:tcMar>
              <w:top w:w="80" w:type="dxa"/>
              <w:bottom w:w="80" w:type="dxa"/>
              <w:left w:w="120" w:type="dxa"/>
              <w:right w:w="120" w:type="dxa"/>
            </w:tcMar>
          </w:tcPr>
          <w:p>
            <w:pPr>
              <w:spacing w:before="20" w:after="20"/>
              <w:jc w:val="left"/>
            </w:pPr>
            <w:r>
              <w:rPr>
                <w:rFonts w:ascii="Calibri" w:hAnsi="Calibri"/>
                <w:color w:val="1E293B"/>
                <w:sz w:val="18"/>
              </w:rPr>
              <w:t>Uploads scanned FDR document proof using Multer multipart handling.</w:t>
            </w:r>
          </w:p>
        </w:tc>
      </w:tr>
      <w:tr>
        <w:tc>
          <w:tcPr>
            <w:tcW w:type="dxa" w:w="1440"/>
            <w:shd w:fill="F8FAFC"/>
            <w:tcMar>
              <w:top w:w="80" w:type="dxa"/>
              <w:bottom w:w="80" w:type="dxa"/>
              <w:left w:w="120" w:type="dxa"/>
              <w:right w:w="120" w:type="dxa"/>
            </w:tcMar>
          </w:tcPr>
          <w:p>
            <w:pPr>
              <w:spacing w:before="20" w:after="20"/>
              <w:jc w:val="left"/>
            </w:pPr>
            <w:r>
              <w:rPr>
                <w:rFonts w:ascii="Calibri" w:hAnsi="Calibri"/>
                <w:color w:val="1E293B"/>
                <w:sz w:val="18"/>
              </w:rPr>
              <w:t>GET</w:t>
            </w:r>
          </w:p>
        </w:tc>
        <w:tc>
          <w:tcPr>
            <w:tcW w:type="dxa" w:w="3600"/>
            <w:shd w:fill="F8FAFC"/>
            <w:tcMar>
              <w:top w:w="80" w:type="dxa"/>
              <w:bottom w:w="80" w:type="dxa"/>
              <w:left w:w="120" w:type="dxa"/>
              <w:right w:w="120" w:type="dxa"/>
            </w:tcMar>
          </w:tcPr>
          <w:p>
            <w:pPr>
              <w:spacing w:before="20" w:after="20"/>
              <w:jc w:val="left"/>
            </w:pPr>
            <w:r>
              <w:rPr>
                <w:rFonts w:ascii="Calibri" w:hAnsi="Calibri"/>
                <w:color w:val="1E293B"/>
                <w:sz w:val="18"/>
              </w:rPr>
              <w:t>/api/fdrs/audit/trail</w:t>
            </w:r>
          </w:p>
        </w:tc>
        <w:tc>
          <w:tcPr>
            <w:tcW w:type="dxa" w:w="1872"/>
            <w:shd w:fill="F8FAFC"/>
            <w:tcMar>
              <w:top w:w="80" w:type="dxa"/>
              <w:bottom w:w="80" w:type="dxa"/>
              <w:left w:w="120" w:type="dxa"/>
              <w:right w:w="120" w:type="dxa"/>
            </w:tcMar>
          </w:tcPr>
          <w:p>
            <w:pPr>
              <w:spacing w:before="20" w:after="20"/>
              <w:jc w:val="left"/>
            </w:pPr>
            <w:r>
              <w:rPr>
                <w:rFonts w:ascii="Calibri" w:hAnsi="Calibri"/>
                <w:color w:val="1E293B"/>
                <w:sz w:val="18"/>
              </w:rPr>
              <w:t>Authenticated</w:t>
            </w:r>
          </w:p>
        </w:tc>
        <w:tc>
          <w:tcPr>
            <w:tcW w:type="dxa" w:w="3168"/>
            <w:shd w:fill="F8FAFC"/>
            <w:tcMar>
              <w:top w:w="80" w:type="dxa"/>
              <w:bottom w:w="80" w:type="dxa"/>
              <w:left w:w="120" w:type="dxa"/>
              <w:right w:w="120" w:type="dxa"/>
            </w:tcMar>
          </w:tcPr>
          <w:p>
            <w:pPr>
              <w:spacing w:before="20" w:after="20"/>
              <w:jc w:val="left"/>
            </w:pPr>
            <w:r>
              <w:rPr>
                <w:rFonts w:ascii="Calibri" w:hAnsi="Calibri"/>
                <w:color w:val="1E293B"/>
                <w:sz w:val="18"/>
              </w:rPr>
              <w:t>Returns paginated immutable system audit log with actor details.</w:t>
            </w:r>
          </w:p>
        </w:tc>
      </w:tr>
      <w:tr>
        <w:tc>
          <w:tcPr>
            <w:tcW w:type="dxa" w:w="1440"/>
            <w:shd w:fill="FFFFFF"/>
            <w:tcMar>
              <w:top w:w="80" w:type="dxa"/>
              <w:bottom w:w="80" w:type="dxa"/>
              <w:left w:w="120" w:type="dxa"/>
              <w:right w:w="120" w:type="dxa"/>
            </w:tcMar>
          </w:tcPr>
          <w:p>
            <w:pPr>
              <w:spacing w:before="20" w:after="20"/>
              <w:jc w:val="left"/>
            </w:pPr>
            <w:r>
              <w:rPr>
                <w:rFonts w:ascii="Calibri" w:hAnsi="Calibri"/>
                <w:color w:val="1E293B"/>
                <w:sz w:val="18"/>
              </w:rPr>
              <w:t>GET</w:t>
            </w:r>
          </w:p>
        </w:tc>
        <w:tc>
          <w:tcPr>
            <w:tcW w:type="dxa" w:w="3600"/>
            <w:shd w:fill="FFFFFF"/>
            <w:tcMar>
              <w:top w:w="80" w:type="dxa"/>
              <w:bottom w:w="80" w:type="dxa"/>
              <w:left w:w="120" w:type="dxa"/>
              <w:right w:w="120" w:type="dxa"/>
            </w:tcMar>
          </w:tcPr>
          <w:p>
            <w:pPr>
              <w:spacing w:before="20" w:after="20"/>
              <w:jc w:val="left"/>
            </w:pPr>
            <w:r>
              <w:rPr>
                <w:rFonts w:ascii="Calibri" w:hAnsi="Calibri"/>
                <w:color w:val="1E293B"/>
                <w:sz w:val="18"/>
              </w:rPr>
              <w:t>/api/institutions</w:t>
            </w:r>
          </w:p>
        </w:tc>
        <w:tc>
          <w:tcPr>
            <w:tcW w:type="dxa" w:w="1872"/>
            <w:shd w:fill="FFFFFF"/>
            <w:tcMar>
              <w:top w:w="80" w:type="dxa"/>
              <w:bottom w:w="80" w:type="dxa"/>
              <w:left w:w="120" w:type="dxa"/>
              <w:right w:w="120" w:type="dxa"/>
            </w:tcMar>
          </w:tcPr>
          <w:p>
            <w:pPr>
              <w:spacing w:before="20" w:after="20"/>
              <w:jc w:val="left"/>
            </w:pPr>
            <w:r>
              <w:rPr>
                <w:rFonts w:ascii="Calibri" w:hAnsi="Calibri"/>
                <w:color w:val="1E293B"/>
                <w:sz w:val="18"/>
              </w:rPr>
              <w:t>Officer / Auditor</w:t>
            </w:r>
          </w:p>
        </w:tc>
        <w:tc>
          <w:tcPr>
            <w:tcW w:type="dxa" w:w="3168"/>
            <w:shd w:fill="FFFFFF"/>
            <w:tcMar>
              <w:top w:w="80" w:type="dxa"/>
              <w:bottom w:w="80" w:type="dxa"/>
              <w:left w:w="120" w:type="dxa"/>
              <w:right w:w="120" w:type="dxa"/>
            </w:tcMar>
          </w:tcPr>
          <w:p>
            <w:pPr>
              <w:spacing w:before="20" w:after="20"/>
              <w:jc w:val="left"/>
            </w:pPr>
            <w:r>
              <w:rPr>
                <w:rFonts w:ascii="Calibri" w:hAnsi="Calibri"/>
                <w:color w:val="1E293B"/>
                <w:sz w:val="18"/>
              </w:rPr>
              <w:t>Retrieves comprehensive list of technical institutions and their deposit counts.</w:t>
            </w:r>
          </w:p>
        </w:tc>
      </w:tr>
      <w:tr>
        <w:tc>
          <w:tcPr>
            <w:tcW w:type="dxa" w:w="1440"/>
            <w:shd w:fill="F8FAFC"/>
            <w:tcMar>
              <w:top w:w="80" w:type="dxa"/>
              <w:bottom w:w="80" w:type="dxa"/>
              <w:left w:w="120" w:type="dxa"/>
              <w:right w:w="120" w:type="dxa"/>
            </w:tcMar>
          </w:tcPr>
          <w:p>
            <w:pPr>
              <w:spacing w:before="20" w:after="20"/>
              <w:jc w:val="left"/>
            </w:pPr>
            <w:r>
              <w:rPr>
                <w:rFonts w:ascii="Calibri" w:hAnsi="Calibri"/>
                <w:color w:val="1E293B"/>
                <w:sz w:val="18"/>
              </w:rPr>
              <w:t>GET</w:t>
            </w:r>
          </w:p>
        </w:tc>
        <w:tc>
          <w:tcPr>
            <w:tcW w:type="dxa" w:w="3600"/>
            <w:shd w:fill="F8FAFC"/>
            <w:tcMar>
              <w:top w:w="80" w:type="dxa"/>
              <w:bottom w:w="80" w:type="dxa"/>
              <w:left w:w="120" w:type="dxa"/>
              <w:right w:w="120" w:type="dxa"/>
            </w:tcMar>
          </w:tcPr>
          <w:p>
            <w:pPr>
              <w:spacing w:before="20" w:after="20"/>
              <w:jc w:val="left"/>
            </w:pPr>
            <w:r>
              <w:rPr>
                <w:rFonts w:ascii="Calibri" w:hAnsi="Calibri"/>
                <w:color w:val="1E293B"/>
                <w:sz w:val="18"/>
              </w:rPr>
              <w:t>/api/health</w:t>
            </w:r>
          </w:p>
        </w:tc>
        <w:tc>
          <w:tcPr>
            <w:tcW w:type="dxa" w:w="1872"/>
            <w:shd w:fill="F8FAFC"/>
            <w:tcMar>
              <w:top w:w="80" w:type="dxa"/>
              <w:bottom w:w="80" w:type="dxa"/>
              <w:left w:w="120" w:type="dxa"/>
              <w:right w:w="120" w:type="dxa"/>
            </w:tcMar>
          </w:tcPr>
          <w:p>
            <w:pPr>
              <w:spacing w:before="20" w:after="20"/>
              <w:jc w:val="left"/>
            </w:pPr>
            <w:r>
              <w:rPr>
                <w:rFonts w:ascii="Calibri" w:hAnsi="Calibri"/>
                <w:color w:val="1E293B"/>
                <w:sz w:val="18"/>
              </w:rPr>
              <w:t>Public</w:t>
            </w:r>
          </w:p>
        </w:tc>
        <w:tc>
          <w:tcPr>
            <w:tcW w:type="dxa" w:w="3168"/>
            <w:shd w:fill="F8FAFC"/>
            <w:tcMar>
              <w:top w:w="80" w:type="dxa"/>
              <w:bottom w:w="80" w:type="dxa"/>
              <w:left w:w="120" w:type="dxa"/>
              <w:right w:w="120" w:type="dxa"/>
            </w:tcMar>
          </w:tcPr>
          <w:p>
            <w:pPr>
              <w:spacing w:before="20" w:after="20"/>
              <w:jc w:val="left"/>
            </w:pPr>
            <w:r>
              <w:rPr>
                <w:rFonts w:ascii="Calibri" w:hAnsi="Calibri"/>
                <w:color w:val="1E293B"/>
                <w:sz w:val="18"/>
              </w:rPr>
              <w:t>System health diagnostic endpoint returning server status and timestamp.</w:t>
            </w:r>
          </w:p>
        </w:tc>
      </w:tr>
    </w:tbl>
    <w:p>
      <w:pPr>
        <w:spacing w:before="0" w:after="120"/>
      </w:pPr>
    </w:p>
    <w:p>
      <w:pPr>
        <w:keepNext/>
        <w:spacing w:before="360" w:after="120"/>
      </w:pPr>
      <w:r>
        <w:rPr>
          <w:rFonts w:ascii="Calibri" w:hAnsi="Calibri"/>
          <w:b/>
          <w:color w:val="0A2540"/>
          <w:sz w:val="32"/>
        </w:rPr>
        <w:t>7. Deployment &amp; Verification Guide</w:t>
      </w:r>
    </w:p>
    <w:tbl>
      <w:tblPr>
        <w:tblW w:type="auto" w:w="0"/>
        <w:jc w:val="left"/>
        <w:tblLayout w:type="fixed"/>
        <w:tblLook w:firstColumn="1" w:firstRow="1" w:lastColumn="0" w:lastRow="0" w:noHBand="0" w:noVBand="1" w:val="04A0"/>
      </w:tblPr>
      <w:tblGrid>
        <w:gridCol w:w="10080"/>
      </w:tblGrid>
      <w:tr>
        <w:tc>
          <w:tcPr>
            <w:tcW w:type="dxa" w:w="10080"/>
            <w:shd w:fill="0284C7"/>
            <w:tcMar>
              <w:top w:w="10" w:type="dxa"/>
              <w:bottom w:w="10" w:type="dxa"/>
              <w:left w:w="0" w:type="dxa"/>
              <w:right w:w="0" w:type="dxa"/>
            </w:tcMar>
          </w:tcPr>
          <w:p>
            <w:pPr>
              <w:spacing w:before="0" w:after="0"/>
            </w:pPr>
            <w:r>
              <w:rPr>
                <w:sz w:val="2"/>
              </w:rPr>
            </w:r>
          </w:p>
        </w:tc>
      </w:tr>
    </w:tbl>
    <w:p>
      <w:pPr>
        <w:spacing w:before="0" w:after="80"/>
      </w:pPr>
    </w:p>
    <w:p>
      <w:pPr>
        <w:keepNext/>
        <w:spacing w:before="240" w:after="80"/>
      </w:pPr>
      <w:r>
        <w:rPr>
          <w:rFonts w:ascii="Calibri" w:hAnsi="Calibri"/>
          <w:b/>
          <w:color w:val="1E3A8A"/>
          <w:sz w:val="25"/>
        </w:rPr>
        <w:t>7.1 Prerequisites</w:t>
      </w:r>
    </w:p>
    <w:p>
      <w:pPr>
        <w:pStyle w:val="ListBullet"/>
        <w:spacing w:before="0" w:after="60" w:line="276" w:lineRule="auto"/>
      </w:pPr>
      <w:r>
        <w:rPr>
          <w:rFonts w:ascii="Calibri" w:hAnsi="Calibri"/>
          <w:b/>
          <w:color w:val="0A2540"/>
          <w:sz w:val="20"/>
        </w:rPr>
        <w:t xml:space="preserve">Runtime: </w:t>
      </w:r>
      <w:r>
        <w:rPr>
          <w:rFonts w:ascii="Calibri" w:hAnsi="Calibri"/>
          <w:color w:val="1E293B"/>
          <w:sz w:val="20"/>
        </w:rPr>
        <w:t xml:space="preserve"> Node.js v18.0+ or higher and npm package manager.</w:t>
      </w:r>
    </w:p>
    <w:p>
      <w:pPr>
        <w:pStyle w:val="ListBullet"/>
        <w:spacing w:before="0" w:after="60" w:line="276" w:lineRule="auto"/>
      </w:pPr>
      <w:r>
        <w:rPr>
          <w:rFonts w:ascii="Calibri" w:hAnsi="Calibri"/>
          <w:b/>
          <w:color w:val="0A2540"/>
          <w:sz w:val="20"/>
        </w:rPr>
        <w:t xml:space="preserve">Web Browser: </w:t>
      </w:r>
      <w:r>
        <w:rPr>
          <w:rFonts w:ascii="Calibri" w:hAnsi="Calibri"/>
          <w:color w:val="1E293B"/>
          <w:sz w:val="20"/>
        </w:rPr>
        <w:t xml:space="preserve"> Any standard web browser (Google Chrome, Microsoft Edge, Mozilla Firefox).</w:t>
      </w:r>
    </w:p>
    <w:p>
      <w:pPr>
        <w:pStyle w:val="ListBullet"/>
        <w:spacing w:before="0" w:after="60" w:line="276" w:lineRule="auto"/>
      </w:pPr>
      <w:r>
        <w:rPr>
          <w:rFonts w:ascii="Calibri" w:hAnsi="Calibri"/>
          <w:b/>
          <w:color w:val="0A2540"/>
          <w:sz w:val="20"/>
        </w:rPr>
        <w:t xml:space="preserve">Database Server: </w:t>
      </w:r>
      <w:r>
        <w:rPr>
          <w:rFonts w:ascii="Calibri" w:hAnsi="Calibri"/>
          <w:color w:val="1E293B"/>
          <w:sz w:val="20"/>
        </w:rPr>
        <w:t xml:space="preserve"> Optional (Embedded SQLite is pre-configured and active by default).</w:t>
      </w:r>
    </w:p>
    <w:p>
      <w:pPr>
        <w:keepNext/>
        <w:spacing w:before="240" w:after="80"/>
      </w:pPr>
      <w:r>
        <w:rPr>
          <w:rFonts w:ascii="Calibri" w:hAnsi="Calibri"/>
          <w:b/>
          <w:color w:val="1E3A8A"/>
          <w:sz w:val="25"/>
        </w:rPr>
        <w:t>7.2 How to Start the System Locally</w:t>
      </w:r>
    </w:p>
    <w:p>
      <w:pPr>
        <w:spacing w:before="0" w:after="40" w:line="276" w:lineRule="auto"/>
      </w:pPr>
      <w:r>
        <w:rPr>
          <w:rFonts w:ascii="Calibri" w:hAnsi="Calibri"/>
          <w:color w:val="1E293B"/>
          <w:sz w:val="20"/>
        </w:rPr>
        <w:t>To run the application from the repository root:</w:t>
      </w:r>
    </w:p>
    <w:p>
      <w:pPr>
        <w:pStyle w:val="ListBullet"/>
        <w:spacing w:before="0" w:after="60" w:line="276" w:lineRule="auto"/>
      </w:pPr>
      <w:r>
        <w:rPr>
          <w:rFonts w:ascii="Calibri" w:hAnsi="Calibri"/>
          <w:b/>
          <w:color w:val="0A2540"/>
          <w:sz w:val="20"/>
        </w:rPr>
        <w:t xml:space="preserve">Step 1 (Start Backend): </w:t>
      </w:r>
      <w:r>
        <w:rPr>
          <w:rFonts w:ascii="Calibri" w:hAnsi="Calibri"/>
          <w:color w:val="1E293B"/>
          <w:sz w:val="20"/>
        </w:rPr>
        <w:t xml:space="preserve"> Open PowerShell or Terminal and execute:</w:t>
      </w:r>
    </w:p>
    <w:p>
      <w:pPr>
        <w:spacing w:before="40" w:after="80"/>
        <w:ind w:left="720"/>
      </w:pPr>
      <w:r>
        <w:rPr>
          <w:rFonts w:ascii="Consolas" w:hAnsi="Consolas"/>
          <w:color w:val="0A2540"/>
          <w:sz w:val="19"/>
        </w:rPr>
        <w:t>cd fdrflow\server</w:t>
        <w:br/>
        <w:t>npm start</w:t>
      </w:r>
    </w:p>
    <w:p>
      <w:pPr>
        <w:pStyle w:val="ListBullet"/>
        <w:spacing w:before="0" w:after="60" w:line="276" w:lineRule="auto"/>
      </w:pPr>
      <w:r>
        <w:rPr>
          <w:rFonts w:ascii="Calibri" w:hAnsi="Calibri"/>
          <w:b/>
          <w:color w:val="0A2540"/>
          <w:sz w:val="20"/>
        </w:rPr>
        <w:t xml:space="preserve">Step 2 (Start Frontend): </w:t>
      </w:r>
      <w:r>
        <w:rPr>
          <w:rFonts w:ascii="Calibri" w:hAnsi="Calibri"/>
          <w:color w:val="1E293B"/>
          <w:sz w:val="20"/>
        </w:rPr>
        <w:t xml:space="preserve"> Open a second terminal window and execute:</w:t>
      </w:r>
    </w:p>
    <w:p>
      <w:pPr>
        <w:spacing w:before="40" w:after="80"/>
        <w:ind w:left="720"/>
      </w:pPr>
      <w:r>
        <w:rPr>
          <w:rFonts w:ascii="Consolas" w:hAnsi="Consolas"/>
          <w:color w:val="0A2540"/>
          <w:sz w:val="19"/>
        </w:rPr>
        <w:t>cd fdrflow\client</w:t>
        <w:br/>
        <w:t>npm run dev</w:t>
      </w:r>
    </w:p>
    <w:p>
      <w:pPr>
        <w:pStyle w:val="ListBullet"/>
        <w:spacing w:before="0" w:after="60" w:line="276" w:lineRule="auto"/>
      </w:pPr>
      <w:r>
        <w:rPr>
          <w:rFonts w:ascii="Calibri" w:hAnsi="Calibri"/>
          <w:b/>
          <w:color w:val="0A2540"/>
          <w:sz w:val="20"/>
        </w:rPr>
        <w:t xml:space="preserve">Step 3 (Access Web App): </w:t>
      </w:r>
      <w:r>
        <w:rPr>
          <w:rFonts w:ascii="Calibri" w:hAnsi="Calibri"/>
          <w:color w:val="1E293B"/>
          <w:sz w:val="20"/>
        </w:rPr>
        <w:t xml:space="preserve"> Open your browser and navigate to http://localhost:5173</w:t>
      </w:r>
    </w:p>
    <w:p>
      <w:pPr>
        <w:keepNext/>
        <w:spacing w:before="240" w:after="80"/>
      </w:pPr>
      <w:r>
        <w:rPr>
          <w:rFonts w:ascii="Calibri" w:hAnsi="Calibri"/>
          <w:b/>
          <w:color w:val="1E3A8A"/>
          <w:sz w:val="25"/>
        </w:rPr>
        <w:t>7.3 Recommended Evaluator Walkthrough</w:t>
      </w:r>
    </w:p>
    <w:p>
      <w:pPr>
        <w:pStyle w:val="ListBullet"/>
        <w:spacing w:before="0" w:after="60" w:line="276" w:lineRule="auto"/>
      </w:pPr>
      <w:r>
        <w:rPr>
          <w:rFonts w:ascii="Calibri" w:hAnsi="Calibri"/>
          <w:b/>
          <w:color w:val="0A2540"/>
          <w:sz w:val="20"/>
        </w:rPr>
        <w:t xml:space="preserve">1. Officer Overview: </w:t>
      </w:r>
      <w:r>
        <w:rPr>
          <w:rFonts w:ascii="Calibri" w:hAnsi="Calibri"/>
          <w:color w:val="1E293B"/>
          <w:sz w:val="20"/>
        </w:rPr>
        <w:t xml:space="preserve"> Click the 'AICTE Officer' quick button on the login screen and click 'Sign In'.</w:t>
      </w:r>
    </w:p>
    <w:p>
      <w:pPr>
        <w:pStyle w:val="ListBullet"/>
        <w:spacing w:before="0" w:after="60" w:line="276" w:lineRule="auto"/>
      </w:pPr>
      <w:r>
        <w:rPr>
          <w:rFonts w:ascii="Calibri" w:hAnsi="Calibri"/>
          <w:b/>
          <w:color w:val="0A2540"/>
          <w:sz w:val="20"/>
        </w:rPr>
        <w:t xml:space="preserve">2. Inspect KPIs: </w:t>
      </w:r>
      <w:r>
        <w:rPr>
          <w:rFonts w:ascii="Calibri" w:hAnsi="Calibri"/>
          <w:color w:val="1E293B"/>
          <w:sz w:val="20"/>
        </w:rPr>
        <w:t xml:space="preserve"> Observe the Total Portfolio Value (₹3.88 Crores), 4 Pending Verifications, and 2 Maturing Soon warnings.</w:t>
      </w:r>
    </w:p>
    <w:p>
      <w:pPr>
        <w:pStyle w:val="ListBullet"/>
        <w:spacing w:before="0" w:after="60" w:line="276" w:lineRule="auto"/>
      </w:pPr>
      <w:r>
        <w:rPr>
          <w:rFonts w:ascii="Calibri" w:hAnsi="Calibri"/>
          <w:b/>
          <w:color w:val="0A2540"/>
          <w:sz w:val="20"/>
        </w:rPr>
        <w:t xml:space="preserve">3. Workflow Stepper: </w:t>
      </w:r>
      <w:r>
        <w:rPr>
          <w:rFonts w:ascii="Calibri" w:hAnsi="Calibri"/>
          <w:color w:val="1E293B"/>
          <w:sz w:val="20"/>
        </w:rPr>
        <w:t xml:space="preserve"> Click on 'State Bank of India (SBI/FDR/2024/001)' to open the detail view. Inspect the visual lifecycle stepper.</w:t>
      </w:r>
    </w:p>
    <w:p>
      <w:pPr>
        <w:pStyle w:val="ListBullet"/>
        <w:spacing w:before="0" w:after="60" w:line="276" w:lineRule="auto"/>
      </w:pPr>
      <w:r>
        <w:rPr>
          <w:rFonts w:ascii="Calibri" w:hAnsi="Calibri"/>
          <w:b/>
          <w:color w:val="0A2540"/>
          <w:sz w:val="20"/>
        </w:rPr>
        <w:t xml:space="preserve">4. Complete Verification: </w:t>
      </w:r>
      <w:r>
        <w:rPr>
          <w:rFonts w:ascii="Calibri" w:hAnsi="Calibri"/>
          <w:color w:val="1E293B"/>
          <w:sz w:val="20"/>
        </w:rPr>
        <w:t xml:space="preserve"> As an AICTE Officer, submit a verification decision (e.g. 'Verified - Joint discharge signed') and witness the audit trail update immediately.</w:t>
      </w:r>
    </w:p>
    <w:p>
      <w:pPr>
        <w:pStyle w:val="ListBullet"/>
        <w:spacing w:before="0" w:after="60" w:line="276" w:lineRule="auto"/>
      </w:pPr>
      <w:r>
        <w:rPr>
          <w:rFonts w:ascii="Calibri" w:hAnsi="Calibri"/>
          <w:b/>
          <w:color w:val="0A2540"/>
          <w:sz w:val="20"/>
        </w:rPr>
        <w:t xml:space="preserve">5. Audit Compliance: </w:t>
      </w:r>
      <w:r>
        <w:rPr>
          <w:rFonts w:ascii="Calibri" w:hAnsi="Calibri"/>
          <w:color w:val="1E293B"/>
          <w:sz w:val="20"/>
        </w:rPr>
        <w:t xml:space="preserve"> Click 'Audit Trail' in the sidebar to review the chronological, immutable log of all historical system operations.</w:t>
      </w:r>
    </w:p>
    <w:p>
      <w:pPr>
        <w:pStyle w:val="ListBullet"/>
        <w:spacing w:before="0" w:after="60" w:line="276" w:lineRule="auto"/>
      </w:pPr>
      <w:r>
        <w:rPr>
          <w:rFonts w:ascii="Calibri" w:hAnsi="Calibri"/>
          <w:b/>
          <w:color w:val="0A2540"/>
          <w:sz w:val="20"/>
        </w:rPr>
        <w:t xml:space="preserve">6. Test Multi-Tenancy: </w:t>
      </w:r>
      <w:r>
        <w:rPr>
          <w:rFonts w:ascii="Calibri" w:hAnsi="Calibri"/>
          <w:color w:val="1E293B"/>
          <w:sz w:val="20"/>
        </w:rPr>
        <w:t xml:space="preserve"> Logout and click 'IIT Delhi Admin'. Notice that the institution view is strictly partitioned to only show deposits belonging to IIT Delhi.</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