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371600" cy="1603332"/>
            <wp:docPr id="1" name="Picture 1"/>
            <wp:cNvGraphicFramePr>
              <a:graphicFrameLocks noChangeAspect="1"/>
            </wp:cNvGraphicFramePr>
            <a:graphic>
              <a:graphicData uri="http://schemas.openxmlformats.org/drawingml/2006/picture">
                <pic:pic>
                  <pic:nvPicPr>
                    <pic:cNvPr id="0" name="bennett_university_logo.png"/>
                    <pic:cNvPicPr/>
                  </pic:nvPicPr>
                  <pic:blipFill>
                    <a:blip r:embed="rId10"/>
                    <a:stretch>
                      <a:fillRect/>
                    </a:stretch>
                  </pic:blipFill>
                  <pic:spPr>
                    <a:xfrm>
                      <a:off x="0" y="0"/>
                      <a:ext cx="1371600" cy="1603332"/>
                    </a:xfrm>
                    <a:prstGeom prst="rect"/>
                  </pic:spPr>
                </pic:pic>
              </a:graphicData>
            </a:graphic>
          </wp:inline>
        </w:drawing>
      </w:r>
    </w:p>
    <w:p>
      <w:pPr>
        <w:spacing w:before="0" w:after="40" w:line="283" w:lineRule="auto"/>
        <w:jc w:val="center"/>
      </w:pPr>
      <w:r>
        <w:rPr>
          <w:rFonts w:ascii="Times New Roman" w:hAnsi="Times New Roman"/>
          <w:b/>
          <w:i w:val="0"/>
          <w:color w:val="0F2C59"/>
          <w:sz w:val="34"/>
        </w:rPr>
        <w:t>BENNETT UNIVERSITY</w:t>
      </w:r>
    </w:p>
    <w:p>
      <w:pPr>
        <w:spacing w:before="0" w:after="40" w:line="283" w:lineRule="auto"/>
        <w:jc w:val="center"/>
      </w:pPr>
      <w:r>
        <w:rPr>
          <w:rFonts w:ascii="Times New Roman" w:hAnsi="Times New Roman"/>
          <w:b/>
          <w:i w:val="0"/>
          <w:color w:val="0D6E85"/>
          <w:sz w:val="22"/>
        </w:rPr>
        <w:t>SCHOOL OF ENGINEERING &amp; APPLIED SCIENCES</w:t>
      </w:r>
    </w:p>
    <w:p>
      <w:pPr>
        <w:spacing w:before="0" w:after="240" w:line="283" w:lineRule="auto"/>
        <w:jc w:val="center"/>
      </w:pPr>
      <w:r>
        <w:rPr>
          <w:rFonts w:ascii="Times New Roman" w:hAnsi="Times New Roman"/>
          <w:b w:val="0"/>
          <w:i w:val="0"/>
          <w:color w:val="64748B"/>
          <w:sz w:val="20"/>
        </w:rPr>
        <w:t>DEPARTMENT OF COMPUTER SCIENCE &amp; ENGINEERING</w:t>
      </w:r>
    </w:p>
    <w:p>
      <w:pPr>
        <w:spacing w:before="0" w:after="40" w:line="283" w:lineRule="auto"/>
        <w:jc w:val="center"/>
      </w:pPr>
      <w:r>
        <w:rPr>
          <w:rFonts w:ascii="Times New Roman" w:hAnsi="Times New Roman"/>
          <w:b/>
          <w:i w:val="0"/>
          <w:color w:val="0F2C59"/>
          <w:sz w:val="26"/>
        </w:rPr>
        <w:t>CSET400C | CAPSTONE PROJECT REPORT</w:t>
      </w:r>
    </w:p>
    <w:p>
      <w:pPr>
        <w:spacing w:before="0" w:after="200" w:line="283" w:lineRule="auto"/>
        <w:jc w:val="center"/>
      </w:pPr>
      <w:r>
        <w:rPr>
          <w:rFonts w:ascii="Times New Roman" w:hAnsi="Times New Roman"/>
          <w:b w:val="0"/>
          <w:i w:val="0"/>
          <w:color w:val="1E293B"/>
          <w:sz w:val="21"/>
        </w:rPr>
        <w:t>Academic Session 2026–27 • Semester VII B.Tech. CSE</w:t>
      </w:r>
    </w:p>
    <w:p>
      <w:pPr>
        <w:spacing w:before="40" w:after="200"/>
        <w:jc w:val="center"/>
        <w:pBdr>
          <w:bottom w:val="single" w:sz="16" w:space="1" w:color="C5A059"/>
        </w:pBdr>
      </w:pPr>
    </w:p>
    <w:p>
      <w:pPr>
        <w:spacing w:before="0" w:after="40" w:line="283" w:lineRule="auto"/>
        <w:jc w:val="center"/>
      </w:pPr>
      <w:r>
        <w:rPr>
          <w:rFonts w:ascii="Times New Roman" w:hAnsi="Times New Roman"/>
          <w:b/>
          <w:i w:val="0"/>
          <w:color w:val="0D6E85"/>
          <w:sz w:val="22"/>
        </w:rPr>
        <w:t>MILESTONE 1</w:t>
      </w:r>
    </w:p>
    <w:p>
      <w:pPr>
        <w:spacing w:before="0" w:after="200" w:line="283" w:lineRule="auto"/>
        <w:jc w:val="center"/>
      </w:pPr>
      <w:r>
        <w:rPr>
          <w:rFonts w:ascii="Times New Roman" w:hAnsi="Times New Roman"/>
          <w:b/>
          <w:i w:val="0"/>
          <w:color w:val="0F2C59"/>
          <w:sz w:val="27"/>
        </w:rPr>
        <w:t>PROJECT PROPOSAL, REQUIREMENTS &amp; FEASIBILITY</w:t>
      </w:r>
    </w:p>
    <w:p>
      <w:pPr>
        <w:spacing w:before="0" w:after="80" w:line="283" w:lineRule="auto"/>
        <w:jc w:val="center"/>
      </w:pPr>
      <w:r>
        <w:rPr>
          <w:rFonts w:ascii="Times New Roman" w:hAnsi="Times New Roman"/>
          <w:b/>
          <w:i w:val="0"/>
          <w:color w:val="0F2C59"/>
          <w:sz w:val="56"/>
        </w:rPr>
        <w:t>CogniCare</w:t>
      </w:r>
    </w:p>
    <w:p>
      <w:pPr>
        <w:spacing w:before="0" w:after="280" w:line="283" w:lineRule="auto"/>
        <w:jc w:val="center"/>
      </w:pPr>
      <w:r>
        <w:rPr>
          <w:rFonts w:ascii="Times New Roman" w:hAnsi="Times New Roman"/>
          <w:b w:val="0"/>
          <w:i/>
          <w:color w:val="0D6E85"/>
          <w:sz w:val="23"/>
        </w:rPr>
        <w:t>An Accessible Routine and Cognitive-Activity Companion for Older Adults</w:t>
      </w:r>
    </w:p>
    <w:p>
      <w:pPr>
        <w:spacing w:before="0" w:after="80" w:line="283" w:lineRule="auto"/>
        <w:jc w:val="center"/>
      </w:pPr>
      <w:r>
        <w:rPr>
          <w:rFonts w:ascii="Times New Roman" w:hAnsi="Times New Roman"/>
          <w:b/>
          <w:i w:val="0"/>
          <w:color w:val="0F2C59"/>
          <w:sz w:val="20"/>
        </w:rPr>
        <w:t>SUBMITTED BY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60" w:type="dxa"/>
              <w:bottom w:w="60" w:type="dxa"/>
              <w:left w:w="90" w:type="dxa"/>
              <w:right w:w="90" w:type="dxa"/>
            </w:tcMar>
          </w:tcPr>
          <w:p>
            <w:pPr>
              <w:jc w:val="left"/>
            </w:pPr>
            <w:r>
              <w:rPr>
                <w:rFonts w:ascii="Times New Roman" w:hAnsi="Times New Roman"/>
                <w:b/>
                <w:color w:val="FFFFFF"/>
                <w:sz w:val="19"/>
              </w:rPr>
              <w:t>Project Role</w:t>
            </w:r>
          </w:p>
        </w:tc>
        <w:tc>
          <w:tcPr>
            <w:tcW w:type="dxa" w:w="3120"/>
            <w:shd w:fill="0F2C59"/>
            <w:tcMar>
              <w:top w:w="60" w:type="dxa"/>
              <w:bottom w:w="60" w:type="dxa"/>
              <w:left w:w="90" w:type="dxa"/>
              <w:right w:w="90" w:type="dxa"/>
            </w:tcMar>
          </w:tcPr>
          <w:p>
            <w:pPr>
              <w:jc w:val="left"/>
            </w:pPr>
            <w:r>
              <w:rPr>
                <w:rFonts w:ascii="Times New Roman" w:hAnsi="Times New Roman"/>
                <w:b/>
                <w:color w:val="FFFFFF"/>
                <w:sz w:val="19"/>
              </w:rPr>
              <w:t>Student Name</w:t>
            </w:r>
          </w:p>
        </w:tc>
        <w:tc>
          <w:tcPr>
            <w:tcW w:type="dxa" w:w="3120"/>
            <w:shd w:fill="0F2C59"/>
            <w:tcMar>
              <w:top w:w="60" w:type="dxa"/>
              <w:bottom w:w="60" w:type="dxa"/>
              <w:left w:w="90" w:type="dxa"/>
              <w:right w:w="90" w:type="dxa"/>
            </w:tcMar>
          </w:tcPr>
          <w:p>
            <w:pPr>
              <w:jc w:val="left"/>
            </w:pPr>
            <w:r>
              <w:rPr>
                <w:rFonts w:ascii="Times New Roman" w:hAnsi="Times New Roman"/>
                <w:b/>
                <w:color w:val="FFFFFF"/>
                <w:sz w:val="19"/>
              </w:rPr>
              <w:t>Enrollment Number</w:t>
            </w:r>
          </w:p>
        </w:tc>
      </w:tr>
      <w:tr>
        <w:tc>
          <w:tcPr>
            <w:tcW w:type="dxa" w:w="3120"/>
            <w:shd w:fill="F8FAFC"/>
            <w:tcMar>
              <w:top w:w="50" w:type="dxa"/>
              <w:bottom w:w="50" w:type="dxa"/>
              <w:left w:w="90" w:type="dxa"/>
              <w:right w:w="90" w:type="dxa"/>
            </w:tcMar>
          </w:tcPr>
          <w:p>
            <w:pPr>
              <w:jc w:val="left"/>
            </w:pPr>
            <w:r>
              <w:rPr>
                <w:rFonts w:ascii="Times New Roman" w:hAnsi="Times New Roman"/>
                <w:color w:val="1E293B"/>
                <w:sz w:val="19"/>
              </w:rPr>
              <w:t>Team Leader</w:t>
            </w:r>
          </w:p>
        </w:tc>
        <w:tc>
          <w:tcPr>
            <w:tcW w:type="dxa" w:w="3120"/>
            <w:shd w:fill="F8FAFC"/>
            <w:tcMar>
              <w:top w:w="50" w:type="dxa"/>
              <w:bottom w:w="50" w:type="dxa"/>
              <w:left w:w="90" w:type="dxa"/>
              <w:right w:w="90" w:type="dxa"/>
            </w:tcMar>
          </w:tcPr>
          <w:p>
            <w:pPr>
              <w:jc w:val="left"/>
            </w:pPr>
            <w:r>
              <w:rPr>
                <w:rFonts w:ascii="Times New Roman" w:hAnsi="Times New Roman"/>
                <w:color w:val="1E293B"/>
                <w:sz w:val="19"/>
              </w:rPr>
              <w:t>Deepanshu Chauhan</w:t>
            </w:r>
          </w:p>
        </w:tc>
        <w:tc>
          <w:tcPr>
            <w:tcW w:type="dxa" w:w="3120"/>
            <w:shd w:fill="F8FAFC"/>
            <w:tcMar>
              <w:top w:w="50" w:type="dxa"/>
              <w:bottom w:w="50" w:type="dxa"/>
              <w:left w:w="90" w:type="dxa"/>
              <w:right w:w="90" w:type="dxa"/>
            </w:tcMar>
          </w:tcPr>
          <w:p>
            <w:pPr>
              <w:jc w:val="left"/>
            </w:pPr>
            <w:r>
              <w:rPr>
                <w:rFonts w:ascii="Times New Roman" w:hAnsi="Times New Roman"/>
                <w:color w:val="1E293B"/>
                <w:sz w:val="19"/>
              </w:rPr>
              <w:t>E23CSEU1617</w:t>
            </w:r>
          </w:p>
        </w:tc>
      </w:tr>
      <w:tr>
        <w:tc>
          <w:tcPr>
            <w:tcW w:type="dxa" w:w="3120"/>
            <w:shd w:fill="FFFFFF"/>
            <w:tcMar>
              <w:top w:w="50" w:type="dxa"/>
              <w:bottom w:w="50" w:type="dxa"/>
              <w:left w:w="90" w:type="dxa"/>
              <w:right w:w="90" w:type="dxa"/>
            </w:tcMar>
          </w:tcPr>
          <w:p>
            <w:pPr>
              <w:jc w:val="left"/>
            </w:pPr>
            <w:r>
              <w:rPr>
                <w:rFonts w:ascii="Times New Roman" w:hAnsi="Times New Roman"/>
                <w:color w:val="1E293B"/>
                <w:sz w:val="19"/>
              </w:rPr>
              <w:t>Team Member</w:t>
            </w:r>
          </w:p>
        </w:tc>
        <w:tc>
          <w:tcPr>
            <w:tcW w:type="dxa" w:w="3120"/>
            <w:shd w:fill="FFFFFF"/>
            <w:tcMar>
              <w:top w:w="50" w:type="dxa"/>
              <w:bottom w:w="50" w:type="dxa"/>
              <w:left w:w="90" w:type="dxa"/>
              <w:right w:w="90" w:type="dxa"/>
            </w:tcMar>
          </w:tcPr>
          <w:p>
            <w:pPr>
              <w:jc w:val="left"/>
            </w:pPr>
            <w:r>
              <w:rPr>
                <w:rFonts w:ascii="Times New Roman" w:hAnsi="Times New Roman"/>
                <w:color w:val="1E293B"/>
                <w:sz w:val="19"/>
              </w:rPr>
              <w:t>Yash</w:t>
            </w:r>
          </w:p>
        </w:tc>
        <w:tc>
          <w:tcPr>
            <w:tcW w:type="dxa" w:w="3120"/>
            <w:shd w:fill="FFFFFF"/>
            <w:tcMar>
              <w:top w:w="50" w:type="dxa"/>
              <w:bottom w:w="50" w:type="dxa"/>
              <w:left w:w="90" w:type="dxa"/>
              <w:right w:w="90" w:type="dxa"/>
            </w:tcMar>
          </w:tcPr>
          <w:p>
            <w:pPr>
              <w:jc w:val="left"/>
            </w:pPr>
            <w:r>
              <w:rPr>
                <w:rFonts w:ascii="Times New Roman" w:hAnsi="Times New Roman"/>
                <w:color w:val="1E293B"/>
                <w:sz w:val="19"/>
              </w:rPr>
              <w:t>E23CSEU1493</w:t>
            </w:r>
          </w:p>
        </w:tc>
      </w:tr>
      <w:tr>
        <w:tc>
          <w:tcPr>
            <w:tcW w:type="dxa" w:w="3120"/>
            <w:shd w:fill="F8FAFC"/>
            <w:tcMar>
              <w:top w:w="50" w:type="dxa"/>
              <w:bottom w:w="50" w:type="dxa"/>
              <w:left w:w="90" w:type="dxa"/>
              <w:right w:w="90" w:type="dxa"/>
            </w:tcMar>
          </w:tcPr>
          <w:p>
            <w:pPr>
              <w:jc w:val="left"/>
            </w:pPr>
            <w:r>
              <w:rPr>
                <w:rFonts w:ascii="Times New Roman" w:hAnsi="Times New Roman"/>
                <w:color w:val="1E293B"/>
                <w:sz w:val="19"/>
              </w:rPr>
              <w:t>Team Member</w:t>
            </w:r>
          </w:p>
        </w:tc>
        <w:tc>
          <w:tcPr>
            <w:tcW w:type="dxa" w:w="3120"/>
            <w:shd w:fill="F8FAFC"/>
            <w:tcMar>
              <w:top w:w="50" w:type="dxa"/>
              <w:bottom w:w="50" w:type="dxa"/>
              <w:left w:w="90" w:type="dxa"/>
              <w:right w:w="90" w:type="dxa"/>
            </w:tcMar>
          </w:tcPr>
          <w:p>
            <w:pPr>
              <w:jc w:val="left"/>
            </w:pPr>
            <w:r>
              <w:rPr>
                <w:rFonts w:ascii="Times New Roman" w:hAnsi="Times New Roman"/>
                <w:color w:val="1E293B"/>
                <w:sz w:val="19"/>
              </w:rPr>
              <w:t>Piyush</w:t>
            </w:r>
          </w:p>
        </w:tc>
        <w:tc>
          <w:tcPr>
            <w:tcW w:type="dxa" w:w="3120"/>
            <w:shd w:fill="F8FAFC"/>
            <w:tcMar>
              <w:top w:w="50" w:type="dxa"/>
              <w:bottom w:w="50" w:type="dxa"/>
              <w:left w:w="90" w:type="dxa"/>
              <w:right w:w="90" w:type="dxa"/>
            </w:tcMar>
          </w:tcPr>
          <w:p>
            <w:pPr>
              <w:jc w:val="left"/>
            </w:pPr>
            <w:r>
              <w:rPr>
                <w:rFonts w:ascii="Times New Roman" w:hAnsi="Times New Roman"/>
                <w:color w:val="1E293B"/>
                <w:sz w:val="19"/>
              </w:rPr>
              <w:t>E23CSEU0853</w:t>
            </w:r>
          </w:p>
        </w:tc>
      </w:tr>
    </w:tbl>
    <w:p>
      <w:pPr>
        <w:spacing w:before="0" w:after="160" w:line="283" w:lineRule="auto"/>
        <w:jc w:val="left"/>
      </w:pPr>
    </w:p>
    <w:p>
      <w:pPr>
        <w:spacing w:before="0" w:after="60" w:line="283" w:lineRule="auto"/>
        <w:jc w:val="center"/>
      </w:pPr>
      <w:r>
        <w:rPr>
          <w:rFonts w:ascii="Times New Roman" w:hAnsi="Times New Roman"/>
          <w:b/>
          <w:i w:val="0"/>
          <w:color w:val="0F2C59"/>
          <w:sz w:val="20"/>
        </w:rPr>
        <w:t>UNDER THE SUPERVISION &amp; GUIDANCE OF</w:t>
      </w:r>
    </w:p>
    <w:p>
      <w:pPr>
        <w:spacing w:before="0" w:after="40" w:line="283" w:lineRule="auto"/>
        <w:jc w:val="center"/>
      </w:pPr>
      <w:r>
        <w:rPr>
          <w:rFonts w:ascii="Times New Roman" w:hAnsi="Times New Roman"/>
          <w:b/>
          <w:i w:val="0"/>
          <w:color w:val="0F2C59"/>
          <w:sz w:val="21"/>
        </w:rPr>
        <w:t>Project Guide / Faculty Mentor: Amit Chauhan</w:t>
      </w:r>
    </w:p>
    <w:p>
      <w:pPr>
        <w:spacing w:before="0" w:after="120" w:line="283" w:lineRule="auto"/>
        <w:jc w:val="center"/>
      </w:pPr>
      <w:r>
        <w:rPr>
          <w:rFonts w:ascii="Times New Roman" w:hAnsi="Times New Roman"/>
          <w:b/>
          <w:i w:val="0"/>
          <w:color w:val="0D6E85"/>
          <w:sz w:val="20"/>
        </w:rPr>
        <w:t>Course Coordinator: Dr. Jabir Ali</w:t>
      </w:r>
    </w:p>
    <w:p>
      <w:pPr>
        <w:spacing w:before="0" w:after="0" w:line="283" w:lineRule="auto"/>
        <w:jc w:val="center"/>
      </w:pPr>
      <w:r>
        <w:rPr>
          <w:rFonts w:ascii="Times New Roman" w:hAnsi="Times New Roman"/>
          <w:b w:val="0"/>
          <w:i w:val="0"/>
          <w:color w:val="64748B"/>
          <w:sz w:val="19"/>
        </w:rPr>
        <w:t>Greater Noida, Uttar Pradesh | 19 October 2026</w:t>
      </w:r>
    </w:p>
    <w:p>
      <w:r>
        <w:br w:type="page"/>
      </w:r>
    </w:p>
    <w:p>
      <w:pPr>
        <w:spacing w:before="160" w:after="60" w:line="276" w:lineRule="auto"/>
        <w:jc w:val="left"/>
      </w:pPr>
      <w:r>
        <w:rPr>
          <w:rFonts w:ascii="Times New Roman" w:hAnsi="Times New Roman"/>
          <w:b/>
          <w:color w:val="0F2C59"/>
          <w:sz w:val="26"/>
        </w:rPr>
        <w:t>Declaration of Originality</w:t>
      </w:r>
    </w:p>
    <w:p>
      <w:pPr>
        <w:spacing w:before="0" w:after="100" w:line="283" w:lineRule="auto"/>
        <w:jc w:val="left"/>
      </w:pPr>
      <w:r>
        <w:rPr>
          <w:rFonts w:ascii="Times New Roman" w:hAnsi="Times New Roman"/>
          <w:b w:val="0"/>
          <w:i w:val="0"/>
          <w:color w:val="1E293B"/>
          <w:sz w:val="20"/>
        </w:rPr>
        <w:t>We declare that this Milestone 1 report for “CogniCare: An Accessible Routine and Cognitive-Activity Companion for Older Adults” has been prepared by our team for CSET400C (Capstone Project) at Bennett University during the 2026–27 academic session. Sources used for background information, standards, and software technologies are acknowledged in the references. The system design and implementation status are described as proposed or completed according to the evidence available at the time of submission; planned work is not represented as tested or deployed work.</w:t>
      </w:r>
    </w:p>
    <w:p>
      <w:pPr>
        <w:spacing w:before="0" w:after="120" w:line="283" w:lineRule="auto"/>
        <w:jc w:val="left"/>
      </w:pPr>
      <w:r>
        <w:rPr>
          <w:rFonts w:ascii="Times New Roman" w:hAnsi="Times New Roman"/>
          <w:b w:val="0"/>
          <w:i w:val="0"/>
          <w:color w:val="1E293B"/>
          <w:sz w:val="20"/>
        </w:rPr>
        <w:t>Team responsibilities for the proposed project are recorded below. Signatures may be added to the submitted copy as required by the department.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60" w:type="dxa"/>
              <w:bottom w:w="60" w:type="dxa"/>
              <w:left w:w="80" w:type="dxa"/>
              <w:right w:w="80" w:type="dxa"/>
            </w:tcMar>
          </w:tcPr>
          <w:p>
            <w:r>
              <w:rPr>
                <w:rFonts w:ascii="Times New Roman" w:hAnsi="Times New Roman"/>
                <w:b/>
                <w:color w:val="FFFFFF"/>
                <w:sz w:val="19"/>
              </w:rPr>
              <w:t>Student</w:t>
            </w:r>
          </w:p>
        </w:tc>
        <w:tc>
          <w:tcPr>
            <w:tcW w:type="dxa" w:w="3120"/>
            <w:shd w:fill="0F2C59"/>
            <w:tcMar>
              <w:top w:w="60" w:type="dxa"/>
              <w:bottom w:w="60" w:type="dxa"/>
              <w:left w:w="80" w:type="dxa"/>
              <w:right w:w="80" w:type="dxa"/>
            </w:tcMar>
          </w:tcPr>
          <w:p>
            <w:r>
              <w:rPr>
                <w:rFonts w:ascii="Times New Roman" w:hAnsi="Times New Roman"/>
                <w:b/>
                <w:color w:val="FFFFFF"/>
                <w:sz w:val="19"/>
              </w:rPr>
              <w:t>Proposed responsibility</w:t>
            </w:r>
          </w:p>
        </w:tc>
        <w:tc>
          <w:tcPr>
            <w:tcW w:type="dxa" w:w="3120"/>
            <w:shd w:fill="0F2C59"/>
            <w:tcMar>
              <w:top w:w="60" w:type="dxa"/>
              <w:bottom w:w="60" w:type="dxa"/>
              <w:left w:w="80" w:type="dxa"/>
              <w:right w:w="80" w:type="dxa"/>
            </w:tcMar>
          </w:tcPr>
          <w:p>
            <w:r>
              <w:rPr>
                <w:rFonts w:ascii="Times New Roman" w:hAnsi="Times New Roman"/>
                <w:b/>
                <w:color w:val="FFFFFF"/>
                <w:sz w:val="19"/>
              </w:rPr>
              <w:t>Signature</w:t>
            </w:r>
          </w:p>
        </w:tc>
      </w:tr>
      <w:tr>
        <w:tc>
          <w:tcPr>
            <w:tcW w:type="dxa" w:w="3120"/>
            <w:shd w:fill="F8FAFC"/>
            <w:tcMar>
              <w:top w:w="55" w:type="dxa"/>
              <w:bottom w:w="55" w:type="dxa"/>
              <w:left w:w="80" w:type="dxa"/>
              <w:right w:w="80" w:type="dxa"/>
            </w:tcMar>
          </w:tcPr>
          <w:p>
            <w:r>
              <w:rPr>
                <w:rFonts w:ascii="Times New Roman" w:hAnsi="Times New Roman"/>
                <w:color w:val="1E293B"/>
                <w:sz w:val="18"/>
              </w:rPr>
              <w:t>Deepanshu Chauhan</w:t>
            </w:r>
          </w:p>
        </w:tc>
        <w:tc>
          <w:tcPr>
            <w:tcW w:type="dxa" w:w="3120"/>
            <w:shd w:fill="F8FAFC"/>
            <w:tcMar>
              <w:top w:w="55" w:type="dxa"/>
              <w:bottom w:w="55" w:type="dxa"/>
              <w:left w:w="80" w:type="dxa"/>
              <w:right w:w="80" w:type="dxa"/>
            </w:tcMar>
          </w:tcPr>
          <w:p>
            <w:r>
              <w:rPr>
                <w:rFonts w:ascii="Times New Roman" w:hAnsi="Times New Roman"/>
                <w:color w:val="1E293B"/>
                <w:sz w:val="18"/>
              </w:rPr>
              <w:t>System architecture, backend services, AI-provider adapter, integration and report coordination</w:t>
            </w:r>
          </w:p>
        </w:tc>
        <w:tc>
          <w:tcPr>
            <w:tcW w:type="dxa" w:w="3120"/>
            <w:shd w:fill="F8FAFC"/>
            <w:tcMar>
              <w:top w:w="55" w:type="dxa"/>
              <w:bottom w:w="55" w:type="dxa"/>
              <w:left w:w="80" w:type="dxa"/>
              <w:right w:w="80" w:type="dxa"/>
            </w:tcMar>
          </w:tcPr>
          <w:p>
            <w:r>
              <w:rPr>
                <w:rFonts w:ascii="Times New Roman" w:hAnsi="Times New Roman"/>
                <w:color w:val="1E293B"/>
                <w:sz w:val="18"/>
              </w:rPr>
              <w:t>________________</w:t>
            </w:r>
          </w:p>
        </w:tc>
      </w:tr>
      <w:tr>
        <w:tc>
          <w:tcPr>
            <w:tcW w:type="dxa" w:w="3120"/>
            <w:shd w:fill="FFFFFF"/>
            <w:tcMar>
              <w:top w:w="55" w:type="dxa"/>
              <w:bottom w:w="55" w:type="dxa"/>
              <w:left w:w="80" w:type="dxa"/>
              <w:right w:w="80" w:type="dxa"/>
            </w:tcMar>
          </w:tcPr>
          <w:p>
            <w:r>
              <w:rPr>
                <w:rFonts w:ascii="Times New Roman" w:hAnsi="Times New Roman"/>
                <w:color w:val="1E293B"/>
                <w:sz w:val="18"/>
              </w:rPr>
              <w:t>Yash</w:t>
            </w:r>
          </w:p>
        </w:tc>
        <w:tc>
          <w:tcPr>
            <w:tcW w:type="dxa" w:w="3120"/>
            <w:shd w:fill="FFFFFF"/>
            <w:tcMar>
              <w:top w:w="55" w:type="dxa"/>
              <w:bottom w:w="55" w:type="dxa"/>
              <w:left w:w="80" w:type="dxa"/>
              <w:right w:w="80" w:type="dxa"/>
            </w:tcMar>
          </w:tcPr>
          <w:p>
            <w:r>
              <w:rPr>
                <w:rFonts w:ascii="Times New Roman" w:hAnsi="Times New Roman"/>
                <w:color w:val="1E293B"/>
                <w:sz w:val="18"/>
              </w:rPr>
              <w:t>Frontend, accessible interaction design, PWA behavior and cognitive activities</w:t>
            </w:r>
          </w:p>
        </w:tc>
        <w:tc>
          <w:tcPr>
            <w:tcW w:type="dxa" w:w="3120"/>
            <w:shd w:fill="FFFFFF"/>
            <w:tcMar>
              <w:top w:w="55" w:type="dxa"/>
              <w:bottom w:w="55" w:type="dxa"/>
              <w:left w:w="80" w:type="dxa"/>
              <w:right w:w="80" w:type="dxa"/>
            </w:tcMar>
          </w:tcPr>
          <w:p>
            <w:r>
              <w:rPr>
                <w:rFonts w:ascii="Times New Roman" w:hAnsi="Times New Roman"/>
                <w:color w:val="1E293B"/>
                <w:sz w:val="18"/>
              </w:rPr>
              <w:t>________________</w:t>
            </w:r>
          </w:p>
        </w:tc>
      </w:tr>
      <w:tr>
        <w:tc>
          <w:tcPr>
            <w:tcW w:type="dxa" w:w="3120"/>
            <w:shd w:fill="F8FAFC"/>
            <w:tcMar>
              <w:top w:w="55" w:type="dxa"/>
              <w:bottom w:w="55" w:type="dxa"/>
              <w:left w:w="80" w:type="dxa"/>
              <w:right w:w="80" w:type="dxa"/>
            </w:tcMar>
          </w:tcPr>
          <w:p>
            <w:r>
              <w:rPr>
                <w:rFonts w:ascii="Times New Roman" w:hAnsi="Times New Roman"/>
                <w:color w:val="1E293B"/>
                <w:sz w:val="18"/>
              </w:rPr>
              <w:t>Piyush</w:t>
            </w:r>
          </w:p>
        </w:tc>
        <w:tc>
          <w:tcPr>
            <w:tcW w:type="dxa" w:w="3120"/>
            <w:shd w:fill="F8FAFC"/>
            <w:tcMar>
              <w:top w:w="55" w:type="dxa"/>
              <w:bottom w:w="55" w:type="dxa"/>
              <w:left w:w="80" w:type="dxa"/>
              <w:right w:w="80" w:type="dxa"/>
            </w:tcMar>
          </w:tcPr>
          <w:p>
            <w:r>
              <w:rPr>
                <w:rFonts w:ascii="Times New Roman" w:hAnsi="Times New Roman"/>
                <w:color w:val="1E293B"/>
                <w:sz w:val="18"/>
              </w:rPr>
              <w:t>Database schema, reminder state machine, scoring logic and test design</w:t>
            </w:r>
          </w:p>
        </w:tc>
        <w:tc>
          <w:tcPr>
            <w:tcW w:type="dxa" w:w="3120"/>
            <w:shd w:fill="F8FAFC"/>
            <w:tcMar>
              <w:top w:w="55" w:type="dxa"/>
              <w:bottom w:w="55" w:type="dxa"/>
              <w:left w:w="80" w:type="dxa"/>
              <w:right w:w="80" w:type="dxa"/>
            </w:tcMar>
          </w:tcPr>
          <w:p>
            <w:r>
              <w:rPr>
                <w:rFonts w:ascii="Times New Roman" w:hAnsi="Times New Roman"/>
                <w:color w:val="1E293B"/>
                <w:sz w:val="18"/>
              </w:rPr>
              <w:t>________________</w:t>
            </w:r>
          </w:p>
        </w:tc>
      </w:tr>
    </w:tbl>
    <w:p>
      <w:pPr>
        <w:spacing w:before="0" w:after="200" w:line="283" w:lineRule="auto"/>
        <w:jc w:val="left"/>
      </w:pP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40" w:type="dxa"/>
              <w:right w:w="140" w:type="dxa"/>
            </w:tcMar>
            <w:tcBorders>
              <w:left w:val="single" w:sz="32" w:space="0" w:color="D97706"/>
              <w:top w:val="none"/>
              <w:right w:val="none"/>
              <w:bottom w:val="none"/>
            </w:tcBorders>
          </w:tcPr>
          <w:p>
            <w:pPr>
              <w:spacing w:before="40" w:after="40" w:line="276" w:lineRule="auto"/>
            </w:pPr>
            <w:r>
              <w:rPr>
                <w:rFonts w:ascii="Times New Roman" w:hAnsi="Times New Roman"/>
                <w:b/>
                <w:color w:val="D97706"/>
                <w:sz w:val="21"/>
              </w:rPr>
              <w:t>Status note</w:t>
              <w:br/>
            </w:r>
            <w:r>
              <w:rPr>
                <w:rFonts w:ascii="Times New Roman" w:hAnsi="Times New Roman"/>
                <w:color w:val="1E293B"/>
                <w:sz w:val="19"/>
              </w:rPr>
              <w:t>This is a proposal and feasibility report. Statements about future features, targets, and tests are design commitments to be verified during implementation, not assertions of clinical validation or production readiness.</w:t>
            </w:r>
          </w:p>
        </w:tc>
      </w:tr>
    </w:tbl>
    <w:p>
      <w:r>
        <w:br w:type="page"/>
      </w:r>
    </w:p>
    <w:p>
      <w:pPr>
        <w:spacing w:before="160" w:after="60" w:line="276" w:lineRule="auto"/>
        <w:jc w:val="left"/>
      </w:pPr>
      <w:r>
        <w:rPr>
          <w:rFonts w:ascii="Times New Roman" w:hAnsi="Times New Roman"/>
          <w:b/>
          <w:color w:val="0F2C59"/>
          <w:sz w:val="26"/>
        </w:rPr>
        <w:t>Executive Summary</w:t>
      </w:r>
    </w:p>
    <w:p>
      <w:pPr>
        <w:spacing w:before="0" w:after="100" w:line="283" w:lineRule="auto"/>
        <w:jc w:val="left"/>
      </w:pPr>
      <w:r>
        <w:rPr>
          <w:rFonts w:ascii="Times New Roman" w:hAnsi="Times New Roman"/>
          <w:b w:val="0"/>
          <w:i w:val="0"/>
          <w:color w:val="1E293B"/>
          <w:sz w:val="20"/>
        </w:rPr>
        <w:t>CogniCare is a proposed, low-cost Progressive Web App (PWA) intended to help older adults manage everyday routines while giving consented family caregivers a clearer view of user-reported activity. It brings together four functions: an accessible “My Day” routine view, configurable medication and daily-task reminders, short non-diagnostic cognitive activities, and a caregiver dashboard for missed reminders and longitudinal activity summaries. An optional conversational assistant may provide supportive, plain-language interaction, but it will not diagnose conditions, alter treatment, or make safety-critical state transitions.</w:t>
      </w:r>
    </w:p>
    <w:p>
      <w:pPr>
        <w:spacing w:before="0" w:after="100" w:line="283" w:lineRule="auto"/>
        <w:jc w:val="left"/>
      </w:pPr>
      <w:r>
        <w:rPr>
          <w:rFonts w:ascii="Times New Roman" w:hAnsi="Times New Roman"/>
          <w:b w:val="0"/>
          <w:i w:val="0"/>
          <w:color w:val="1E293B"/>
          <w:sz w:val="20"/>
        </w:rPr>
        <w:t>The motivation is practical rather than diagnostic. The World Health Organization reports that 57 million people were living with dementia worldwide in 2021 and nearly 10 million new cases occur each year [1]. The WHO also identifies the substantial role of informal care in dementia support [1]. These figures describe a broad public-health context; they do not imply that every older adult has cognitive impairment or that a software companion can replace clinical or family care. CogniCare is designed as an assistive routine tool, not a medical device or clinical assessment system.</w:t>
      </w:r>
    </w:p>
    <w:p>
      <w:pPr>
        <w:spacing w:before="0" w:after="100" w:line="283" w:lineRule="auto"/>
        <w:jc w:val="left"/>
      </w:pPr>
      <w:r>
        <w:rPr>
          <w:rFonts w:ascii="Times New Roman" w:hAnsi="Times New Roman"/>
          <w:b w:val="0"/>
          <w:i w:val="0"/>
          <w:color w:val="1E293B"/>
          <w:sz w:val="20"/>
        </w:rPr>
        <w:t>The proposed implementation uses a Next.js App Router frontend, TypeScript, an accessible component system, FastAPI for the REST API, and PostgreSQL for transactional persistence. SQLAlchemy and Alembic are proposed for data access and schema migrations. A provider adapter will integrate a currently supported Gemini Live API model after the model identifier and account availability are verified against official documentation [11]. Deterministic code, rather than generative AI, will govern reminder states and calculate activity scores. Offline behavior will be limited to cached routines and selected activities; cloud conversations, remote caregiver notifications, and delivery verification require a network connection.</w:t>
      </w:r>
    </w:p>
    <w:p>
      <w:pPr>
        <w:spacing w:before="0" w:after="120" w:line="283" w:lineRule="auto"/>
        <w:jc w:val="left"/>
      </w:pPr>
      <w:r>
        <w:rPr>
          <w:rFonts w:ascii="Times New Roman" w:hAnsi="Times New Roman"/>
          <w:b w:val="0"/>
          <w:i w:val="0"/>
          <w:color w:val="1E293B"/>
          <w:sz w:val="20"/>
        </w:rPr>
        <w:t>The immediate milestone is to agree on requirements, architecture, data boundaries, risk controls, and a testable evaluation plan. The next milestone should produce a functional prototype and evidence from automated tests, accessibility checks, and formative usability evaluation. The report deliberately avoids claims of HIPAA/GDPR compliance, guaranteed medication adherence, clinical benefit, universal availability, or 100% test coverage unless such claims are separately substantiated.</w:t>
      </w:r>
    </w:p>
    <w:p>
      <w:pPr>
        <w:spacing w:before="0" w:after="0" w:line="283" w:lineRule="auto"/>
        <w:jc w:val="left"/>
      </w:pPr>
      <w:r>
        <w:rPr>
          <w:rFonts w:ascii="Times New Roman" w:hAnsi="Times New Roman"/>
          <w:b w:val="0"/>
          <w:i/>
          <w:color w:val="64748B"/>
          <w:sz w:val="19"/>
        </w:rPr>
        <w:t>Keywords: older adults, routine support, medication reminders, accessible PWA, caregiver dashboard, deterministic scoring, responsible AI</w:t>
      </w:r>
    </w:p>
    <w:p>
      <w:r>
        <w:br w:type="page"/>
      </w:r>
    </w:p>
    <w:p>
      <w:pPr>
        <w:spacing w:before="160" w:after="60" w:line="276" w:lineRule="auto"/>
        <w:jc w:val="left"/>
      </w:pPr>
      <w:r>
        <w:rPr>
          <w:rFonts w:ascii="Times New Roman" w:hAnsi="Times New Roman"/>
          <w:b/>
          <w:color w:val="0F2C59"/>
          <w:sz w:val="26"/>
        </w:rPr>
        <w:t>Contents</w:t>
      </w:r>
    </w:p>
    <w:tbl>
      <w:tblPr>
        <w:tblW w:type="auto" w:w="0"/>
        <w:jc w:val="center"/>
        <w:tblLook w:firstColumn="1" w:firstRow="1" w:lastColumn="0" w:lastRow="0" w:noHBand="0" w:noVBand="1" w:val="04A0"/>
      </w:tblPr>
      <w:tblGrid>
        <w:gridCol w:w="4680"/>
        <w:gridCol w:w="4680"/>
      </w:tblGrid>
      <w:tr>
        <w:tc>
          <w:tcPr>
            <w:tcW w:type="dxa" w:w="7920"/>
            <w:tcMar>
              <w:top w:w="35" w:type="dxa"/>
              <w:bottom w:w="35" w:type="dxa"/>
              <w:left w:w="40" w:type="dxa"/>
              <w:right w:w="40" w:type="dxa"/>
            </w:tcMar>
          </w:tcPr>
          <w:p>
            <w:r>
              <w:rPr>
                <w:rFonts w:ascii="Times New Roman" w:hAnsi="Times New Roman"/>
                <w:b/>
                <w:color w:val="0F2C59"/>
                <w:sz w:val="20"/>
              </w:rPr>
              <w:t>Executive Summary</w:t>
            </w:r>
          </w:p>
        </w:tc>
        <w:tc>
          <w:tcPr>
            <w:tcW w:type="dxa" w:w="1440"/>
            <w:tcMar>
              <w:top w:w="35" w:type="dxa"/>
              <w:bottom w:w="35" w:type="dxa"/>
              <w:left w:w="40" w:type="dxa"/>
              <w:right w:w="40" w:type="dxa"/>
            </w:tcMar>
          </w:tcPr>
          <w:p>
            <w:pPr>
              <w:jc w:val="right"/>
            </w:pPr>
            <w:r>
              <w:rPr>
                <w:rFonts w:ascii="Times New Roman" w:hAnsi="Times New Roman"/>
                <w:b/>
                <w:color w:val="0D6E85"/>
                <w:sz w:val="20"/>
              </w:rPr>
              <w:t>3</w:t>
            </w:r>
          </w:p>
        </w:tc>
      </w:tr>
      <w:tr>
        <w:tc>
          <w:tcPr>
            <w:tcW w:type="dxa" w:w="7920"/>
            <w:tcMar>
              <w:top w:w="35" w:type="dxa"/>
              <w:bottom w:w="35" w:type="dxa"/>
              <w:left w:w="40" w:type="dxa"/>
              <w:right w:w="40" w:type="dxa"/>
            </w:tcMar>
          </w:tcPr>
          <w:p>
            <w:r>
              <w:rPr>
                <w:rFonts w:ascii="Times New Roman" w:hAnsi="Times New Roman"/>
                <w:b/>
                <w:color w:val="0F2C59"/>
                <w:sz w:val="20"/>
              </w:rPr>
              <w:t>1. Introduction and Project Definition</w:t>
            </w:r>
          </w:p>
        </w:tc>
        <w:tc>
          <w:tcPr>
            <w:tcW w:type="dxa" w:w="1440"/>
            <w:tcMar>
              <w:top w:w="35" w:type="dxa"/>
              <w:bottom w:w="35" w:type="dxa"/>
              <w:left w:w="40" w:type="dxa"/>
              <w:right w:w="40" w:type="dxa"/>
            </w:tcMar>
          </w:tcPr>
          <w:p>
            <w:pPr>
              <w:jc w:val="right"/>
            </w:pPr>
            <w:r>
              <w:rPr>
                <w:rFonts w:ascii="Times New Roman" w:hAnsi="Times New Roman"/>
                <w:b/>
                <w:color w:val="0D6E85"/>
                <w:sz w:val="20"/>
              </w:rPr>
              <w:t>5</w:t>
            </w:r>
          </w:p>
        </w:tc>
      </w:tr>
      <w:tr>
        <w:tc>
          <w:tcPr>
            <w:tcW w:type="dxa" w:w="7920"/>
            <w:tcMar>
              <w:top w:w="35" w:type="dxa"/>
              <w:bottom w:w="35" w:type="dxa"/>
              <w:left w:w="40" w:type="dxa"/>
              <w:right w:w="40" w:type="dxa"/>
            </w:tcMar>
          </w:tcPr>
          <w:p>
            <w:r>
              <w:rPr>
                <w:rFonts w:ascii="Times New Roman" w:hAnsi="Times New Roman"/>
                <w:b/>
                <w:color w:val="0F2C59"/>
                <w:sz w:val="20"/>
              </w:rPr>
              <w:t>2. Related Work and Design Gap</w:t>
            </w:r>
          </w:p>
        </w:tc>
        <w:tc>
          <w:tcPr>
            <w:tcW w:type="dxa" w:w="1440"/>
            <w:tcMar>
              <w:top w:w="35" w:type="dxa"/>
              <w:bottom w:w="35" w:type="dxa"/>
              <w:left w:w="40" w:type="dxa"/>
              <w:right w:w="40" w:type="dxa"/>
            </w:tcMar>
          </w:tcPr>
          <w:p>
            <w:pPr>
              <w:jc w:val="right"/>
            </w:pPr>
            <w:r>
              <w:rPr>
                <w:rFonts w:ascii="Times New Roman" w:hAnsi="Times New Roman"/>
                <w:b/>
                <w:color w:val="0D6E85"/>
                <w:sz w:val="20"/>
              </w:rPr>
              <w:t>6</w:t>
            </w:r>
          </w:p>
        </w:tc>
      </w:tr>
      <w:tr>
        <w:tc>
          <w:tcPr>
            <w:tcW w:type="dxa" w:w="7920"/>
            <w:tcMar>
              <w:top w:w="35" w:type="dxa"/>
              <w:bottom w:w="35" w:type="dxa"/>
              <w:left w:w="40" w:type="dxa"/>
              <w:right w:w="40" w:type="dxa"/>
            </w:tcMar>
          </w:tcPr>
          <w:p>
            <w:r>
              <w:rPr>
                <w:rFonts w:ascii="Times New Roman" w:hAnsi="Times New Roman"/>
                <w:b/>
                <w:color w:val="0F2C59"/>
                <w:sz w:val="20"/>
              </w:rPr>
              <w:t>3. SDG Alignment and Responsible Design</w:t>
            </w:r>
          </w:p>
        </w:tc>
        <w:tc>
          <w:tcPr>
            <w:tcW w:type="dxa" w:w="1440"/>
            <w:tcMar>
              <w:top w:w="35" w:type="dxa"/>
              <w:bottom w:w="35" w:type="dxa"/>
              <w:left w:w="40" w:type="dxa"/>
              <w:right w:w="40" w:type="dxa"/>
            </w:tcMar>
          </w:tcPr>
          <w:p>
            <w:pPr>
              <w:jc w:val="right"/>
            </w:pPr>
            <w:r>
              <w:rPr>
                <w:rFonts w:ascii="Times New Roman" w:hAnsi="Times New Roman"/>
                <w:b/>
                <w:color w:val="0D6E85"/>
                <w:sz w:val="20"/>
              </w:rPr>
              <w:t>7</w:t>
            </w:r>
          </w:p>
        </w:tc>
      </w:tr>
      <w:tr>
        <w:tc>
          <w:tcPr>
            <w:tcW w:type="dxa" w:w="7920"/>
            <w:tcMar>
              <w:top w:w="35" w:type="dxa"/>
              <w:bottom w:w="35" w:type="dxa"/>
              <w:left w:w="40" w:type="dxa"/>
              <w:right w:w="40" w:type="dxa"/>
            </w:tcMar>
          </w:tcPr>
          <w:p>
            <w:r>
              <w:rPr>
                <w:rFonts w:ascii="Times New Roman" w:hAnsi="Times New Roman"/>
                <w:b/>
                <w:color w:val="0F2C59"/>
                <w:sz w:val="20"/>
              </w:rPr>
              <w:t>4. Stakeholders and Requirements</w:t>
            </w:r>
          </w:p>
        </w:tc>
        <w:tc>
          <w:tcPr>
            <w:tcW w:type="dxa" w:w="1440"/>
            <w:tcMar>
              <w:top w:w="35" w:type="dxa"/>
              <w:bottom w:w="35" w:type="dxa"/>
              <w:left w:w="40" w:type="dxa"/>
              <w:right w:w="40" w:type="dxa"/>
            </w:tcMar>
          </w:tcPr>
          <w:p>
            <w:pPr>
              <w:jc w:val="right"/>
            </w:pPr>
            <w:r>
              <w:rPr>
                <w:rFonts w:ascii="Times New Roman" w:hAnsi="Times New Roman"/>
                <w:b/>
                <w:color w:val="0D6E85"/>
                <w:sz w:val="20"/>
              </w:rPr>
              <w:t>8</w:t>
            </w:r>
          </w:p>
        </w:tc>
      </w:tr>
      <w:tr>
        <w:tc>
          <w:tcPr>
            <w:tcW w:type="dxa" w:w="7920"/>
            <w:tcMar>
              <w:top w:w="35" w:type="dxa"/>
              <w:bottom w:w="35" w:type="dxa"/>
              <w:left w:w="40" w:type="dxa"/>
              <w:right w:w="40" w:type="dxa"/>
            </w:tcMar>
          </w:tcPr>
          <w:p>
            <w:r>
              <w:rPr>
                <w:rFonts w:ascii="Times New Roman" w:hAnsi="Times New Roman"/>
                <w:b/>
                <w:color w:val="0F2C59"/>
                <w:sz w:val="20"/>
              </w:rPr>
              <w:t>5. Proposed Architecture and Core Logic</w:t>
            </w:r>
          </w:p>
        </w:tc>
        <w:tc>
          <w:tcPr>
            <w:tcW w:type="dxa" w:w="1440"/>
            <w:tcMar>
              <w:top w:w="35" w:type="dxa"/>
              <w:bottom w:w="35" w:type="dxa"/>
              <w:left w:w="40" w:type="dxa"/>
              <w:right w:w="40" w:type="dxa"/>
            </w:tcMar>
          </w:tcPr>
          <w:p>
            <w:pPr>
              <w:jc w:val="right"/>
            </w:pPr>
            <w:r>
              <w:rPr>
                <w:rFonts w:ascii="Times New Roman" w:hAnsi="Times New Roman"/>
                <w:b/>
                <w:color w:val="0D6E85"/>
                <w:sz w:val="20"/>
              </w:rPr>
              <w:t>10</w:t>
            </w:r>
          </w:p>
        </w:tc>
      </w:tr>
      <w:tr>
        <w:tc>
          <w:tcPr>
            <w:tcW w:type="dxa" w:w="7920"/>
            <w:tcMar>
              <w:top w:w="35" w:type="dxa"/>
              <w:bottom w:w="35" w:type="dxa"/>
              <w:left w:w="40" w:type="dxa"/>
              <w:right w:w="40" w:type="dxa"/>
            </w:tcMar>
          </w:tcPr>
          <w:p>
            <w:r>
              <w:rPr>
                <w:rFonts w:ascii="Times New Roman" w:hAnsi="Times New Roman"/>
                <w:b/>
                <w:color w:val="0F2C59"/>
                <w:sz w:val="20"/>
              </w:rPr>
              <w:t>6. Feasibility and Risk Management</w:t>
            </w:r>
          </w:p>
        </w:tc>
        <w:tc>
          <w:tcPr>
            <w:tcW w:type="dxa" w:w="1440"/>
            <w:tcMar>
              <w:top w:w="35" w:type="dxa"/>
              <w:bottom w:w="35" w:type="dxa"/>
              <w:left w:w="40" w:type="dxa"/>
              <w:right w:w="40" w:type="dxa"/>
            </w:tcMar>
          </w:tcPr>
          <w:p>
            <w:pPr>
              <w:jc w:val="right"/>
            </w:pPr>
            <w:r>
              <w:rPr>
                <w:rFonts w:ascii="Times New Roman" w:hAnsi="Times New Roman"/>
                <w:b/>
                <w:color w:val="0D6E85"/>
                <w:sz w:val="20"/>
              </w:rPr>
              <w:t>13</w:t>
            </w:r>
          </w:p>
        </w:tc>
      </w:tr>
      <w:tr>
        <w:tc>
          <w:tcPr>
            <w:tcW w:type="dxa" w:w="7920"/>
            <w:tcMar>
              <w:top w:w="35" w:type="dxa"/>
              <w:bottom w:w="35" w:type="dxa"/>
              <w:left w:w="40" w:type="dxa"/>
              <w:right w:w="40" w:type="dxa"/>
            </w:tcMar>
          </w:tcPr>
          <w:p>
            <w:r>
              <w:rPr>
                <w:rFonts w:ascii="Times New Roman" w:hAnsi="Times New Roman"/>
                <w:b/>
                <w:color w:val="0F2C59"/>
                <w:sz w:val="20"/>
              </w:rPr>
              <w:t>7. Verification and Evaluation Plan</w:t>
            </w:r>
          </w:p>
        </w:tc>
        <w:tc>
          <w:tcPr>
            <w:tcW w:type="dxa" w:w="1440"/>
            <w:tcMar>
              <w:top w:w="35" w:type="dxa"/>
              <w:bottom w:w="35" w:type="dxa"/>
              <w:left w:w="40" w:type="dxa"/>
              <w:right w:w="40" w:type="dxa"/>
            </w:tcMar>
          </w:tcPr>
          <w:p>
            <w:pPr>
              <w:jc w:val="right"/>
            </w:pPr>
            <w:r>
              <w:rPr>
                <w:rFonts w:ascii="Times New Roman" w:hAnsi="Times New Roman"/>
                <w:b/>
                <w:color w:val="0D6E85"/>
                <w:sz w:val="20"/>
              </w:rPr>
              <w:t>15</w:t>
            </w:r>
          </w:p>
        </w:tc>
      </w:tr>
      <w:tr>
        <w:tc>
          <w:tcPr>
            <w:tcW w:type="dxa" w:w="7920"/>
            <w:tcMar>
              <w:top w:w="35" w:type="dxa"/>
              <w:bottom w:w="35" w:type="dxa"/>
              <w:left w:w="40" w:type="dxa"/>
              <w:right w:w="40" w:type="dxa"/>
            </w:tcMar>
          </w:tcPr>
          <w:p>
            <w:r>
              <w:rPr>
                <w:rFonts w:ascii="Times New Roman" w:hAnsi="Times New Roman"/>
                <w:b/>
                <w:color w:val="0F2C59"/>
                <w:sz w:val="20"/>
              </w:rPr>
              <w:t>8. Project Plan, Roles and Deliverables</w:t>
            </w:r>
          </w:p>
        </w:tc>
        <w:tc>
          <w:tcPr>
            <w:tcW w:type="dxa" w:w="1440"/>
            <w:tcMar>
              <w:top w:w="35" w:type="dxa"/>
              <w:bottom w:w="35" w:type="dxa"/>
              <w:left w:w="40" w:type="dxa"/>
              <w:right w:w="40" w:type="dxa"/>
            </w:tcMar>
          </w:tcPr>
          <w:p>
            <w:pPr>
              <w:jc w:val="right"/>
            </w:pPr>
            <w:r>
              <w:rPr>
                <w:rFonts w:ascii="Times New Roman" w:hAnsi="Times New Roman"/>
                <w:b/>
                <w:color w:val="0D6E85"/>
                <w:sz w:val="20"/>
              </w:rPr>
              <w:t>16</w:t>
            </w:r>
          </w:p>
        </w:tc>
      </w:tr>
      <w:tr>
        <w:tc>
          <w:tcPr>
            <w:tcW w:type="dxa" w:w="7920"/>
            <w:tcMar>
              <w:top w:w="35" w:type="dxa"/>
              <w:bottom w:w="35" w:type="dxa"/>
              <w:left w:w="40" w:type="dxa"/>
              <w:right w:w="40" w:type="dxa"/>
            </w:tcMar>
          </w:tcPr>
          <w:p>
            <w:r>
              <w:rPr>
                <w:rFonts w:ascii="Times New Roman" w:hAnsi="Times New Roman"/>
                <w:b/>
                <w:color w:val="0F2C59"/>
                <w:sz w:val="20"/>
              </w:rPr>
              <w:t>9. Limitations and Conclusion</w:t>
            </w:r>
          </w:p>
        </w:tc>
        <w:tc>
          <w:tcPr>
            <w:tcW w:type="dxa" w:w="1440"/>
            <w:tcMar>
              <w:top w:w="35" w:type="dxa"/>
              <w:bottom w:w="35" w:type="dxa"/>
              <w:left w:w="40" w:type="dxa"/>
              <w:right w:w="40" w:type="dxa"/>
            </w:tcMar>
          </w:tcPr>
          <w:p>
            <w:pPr>
              <w:jc w:val="right"/>
            </w:pPr>
            <w:r>
              <w:rPr>
                <w:rFonts w:ascii="Times New Roman" w:hAnsi="Times New Roman"/>
                <w:b/>
                <w:color w:val="0D6E85"/>
                <w:sz w:val="20"/>
              </w:rPr>
              <w:t>17</w:t>
            </w:r>
          </w:p>
        </w:tc>
      </w:tr>
      <w:tr>
        <w:tc>
          <w:tcPr>
            <w:tcW w:type="dxa" w:w="7920"/>
            <w:tcMar>
              <w:top w:w="35" w:type="dxa"/>
              <w:bottom w:w="35" w:type="dxa"/>
              <w:left w:w="40" w:type="dxa"/>
              <w:right w:w="40" w:type="dxa"/>
            </w:tcMar>
          </w:tcPr>
          <w:p>
            <w:r>
              <w:rPr>
                <w:rFonts w:ascii="Times New Roman" w:hAnsi="Times New Roman"/>
                <w:b/>
                <w:color w:val="0F2C59"/>
                <w:sz w:val="20"/>
              </w:rPr>
              <w:t>References</w:t>
            </w:r>
          </w:p>
        </w:tc>
        <w:tc>
          <w:tcPr>
            <w:tcW w:type="dxa" w:w="1440"/>
            <w:tcMar>
              <w:top w:w="35" w:type="dxa"/>
              <w:bottom w:w="35" w:type="dxa"/>
              <w:left w:w="40" w:type="dxa"/>
              <w:right w:w="40" w:type="dxa"/>
            </w:tcMar>
          </w:tcPr>
          <w:p>
            <w:pPr>
              <w:jc w:val="right"/>
            </w:pPr>
            <w:r>
              <w:rPr>
                <w:rFonts w:ascii="Times New Roman" w:hAnsi="Times New Roman"/>
                <w:b/>
                <w:color w:val="0D6E85"/>
                <w:sz w:val="20"/>
              </w:rPr>
              <w:t>18</w:t>
            </w:r>
          </w:p>
        </w:tc>
      </w:tr>
    </w:tbl>
    <w:p>
      <w:pPr>
        <w:spacing w:before="0" w:after="280" w:line="283" w:lineRule="auto"/>
        <w:jc w:val="left"/>
      </w:pPr>
    </w:p>
    <w:tbl>
      <w:tblPr>
        <w:tblW w:type="auto" w:w="0"/>
        <w:jc w:val="center"/>
        <w:tblLook w:firstColumn="1" w:firstRow="1" w:lastColumn="0" w:lastRow="0" w:noHBand="0" w:noVBand="1" w:val="04A0"/>
      </w:tblPr>
      <w:tblGrid>
        <w:gridCol w:w="9360"/>
      </w:tblGrid>
      <w:tr>
        <w:tc>
          <w:tcPr>
            <w:tcW w:type="dxa" w:w="9360"/>
            <w:shd w:fill="F0F9FF"/>
            <w:tcMar>
              <w:top w:w="100" w:type="dxa"/>
              <w:bottom w:w="100" w:type="dxa"/>
              <w:left w:w="140" w:type="dxa"/>
              <w:right w:w="140" w:type="dxa"/>
            </w:tcMar>
            <w:tcBorders>
              <w:left w:val="single" w:sz="32" w:space="0" w:color="0284C7"/>
              <w:top w:val="none"/>
              <w:right w:val="none"/>
              <w:bottom w:val="none"/>
            </w:tcBorders>
          </w:tcPr>
          <w:p>
            <w:pPr>
              <w:spacing w:before="40" w:after="40" w:line="276" w:lineRule="auto"/>
            </w:pPr>
            <w:r>
              <w:rPr>
                <w:rFonts w:ascii="Times New Roman" w:hAnsi="Times New Roman"/>
                <w:b/>
                <w:color w:val="0284C7"/>
                <w:sz w:val="21"/>
              </w:rPr>
              <w:t>How to read this report</w:t>
              <w:br/>
            </w:r>
            <w:r>
              <w:rPr>
                <w:rFonts w:ascii="Times New Roman" w:hAnsi="Times New Roman"/>
                <w:color w:val="1E293B"/>
                <w:sz w:val="19"/>
              </w:rPr>
              <w:t>The system described here is proposed. Requirements and performance values are target acceptance criteria to test during implementation. The report does not claim that the application is clinically validated or already compliant with any healthcare regulation.</w:t>
            </w:r>
          </w:p>
        </w:tc>
      </w:tr>
    </w:tbl>
    <w:p>
      <w:r>
        <w:br w:type="page"/>
      </w:r>
    </w:p>
    <w:p>
      <w:pPr>
        <w:spacing w:before="160" w:after="60" w:line="276" w:lineRule="auto"/>
        <w:jc w:val="left"/>
      </w:pPr>
      <w:r>
        <w:rPr>
          <w:rFonts w:ascii="Times New Roman" w:hAnsi="Times New Roman"/>
          <w:b/>
          <w:color w:val="0F2C59"/>
          <w:sz w:val="26"/>
        </w:rPr>
        <w:t>1. Introduction and Project Definition</w:t>
      </w:r>
    </w:p>
    <w:p>
      <w:pPr>
        <w:spacing w:before="120" w:after="40" w:line="276" w:lineRule="auto"/>
        <w:jc w:val="left"/>
      </w:pPr>
      <w:r>
        <w:rPr>
          <w:rFonts w:ascii="Times New Roman" w:hAnsi="Times New Roman"/>
          <w:b/>
          <w:color w:val="0D6E85"/>
          <w:sz w:val="22"/>
        </w:rPr>
        <w:t>1.1 Background and Motivation</w:t>
      </w:r>
    </w:p>
    <w:p>
      <w:pPr>
        <w:spacing w:before="0" w:after="80" w:line="283" w:lineRule="auto"/>
        <w:jc w:val="left"/>
      </w:pPr>
      <w:r>
        <w:rPr>
          <w:rFonts w:ascii="Times New Roman" w:hAnsi="Times New Roman"/>
          <w:b w:val="0"/>
          <w:i w:val="0"/>
          <w:color w:val="1E293B"/>
          <w:sz w:val="20"/>
        </w:rPr>
        <w:t>Age-related changes in memory, attention, and task sequencing can make complex daily routines harder to manage for some older adults. Mild cognitive impairment (MCI) is a heterogeneous clinical condition and is not equivalent to dementia; diagnosis and care planning belong with qualified professionals [3]. The design problem addressed here is narrower: people may benefit from clearer reminders, simpler interfaces, and an easy way to communicate routine status to trusted supporters.</w:t>
      </w:r>
    </w:p>
    <w:p>
      <w:pPr>
        <w:spacing w:before="0" w:after="80" w:line="283" w:lineRule="auto"/>
        <w:jc w:val="left"/>
      </w:pPr>
      <w:r>
        <w:rPr>
          <w:rFonts w:ascii="Times New Roman" w:hAnsi="Times New Roman"/>
          <w:b w:val="0"/>
          <w:i w:val="0"/>
          <w:color w:val="1E293B"/>
          <w:sz w:val="20"/>
        </w:rPr>
        <w:t>The WHO estimates that 57 million people were living with dementia globally in 2021, with nearly 10 million new cases each year [1]. It also estimates that informal carers provide an average of five hours of care and supervision per day for people living with dementia [1]. Separately, the WHO has reported that adherence to long-term treatment for chronic diseases averages around 50% in developed countries, while emphasizing that adherence problems vary across conditions and settings [2]. These figures establish a broad motivation; they are not precise estimates of medication adherence among older adults in India and are not used as a forecast of CogniCare’s impact.</w:t>
      </w:r>
    </w:p>
    <w:p>
      <w:pPr>
        <w:spacing w:before="0" w:after="120" w:line="283" w:lineRule="auto"/>
        <w:jc w:val="left"/>
      </w:pPr>
      <w:r>
        <w:rPr>
          <w:rFonts w:ascii="Times New Roman" w:hAnsi="Times New Roman"/>
          <w:b w:val="0"/>
          <w:i w:val="0"/>
          <w:color w:val="1E293B"/>
          <w:sz w:val="20"/>
        </w:rPr>
        <w:t>Many digital experiences assume confident vision, fine motor control, and familiarity with multi-step navigation. CogniCare therefore proposes large, clearly labelled controls, predictable navigation, optional voice output, simple confirmation flows, and a caregiver view based on consent. The intent is to support autonomy without turning ordinary activity data into a clinical judgement.</w:t>
      </w:r>
    </w:p>
    <w:p>
      <w:pPr>
        <w:spacing w:before="120" w:after="40" w:line="276" w:lineRule="auto"/>
        <w:jc w:val="left"/>
      </w:pPr>
      <w:r>
        <w:rPr>
          <w:rFonts w:ascii="Times New Roman" w:hAnsi="Times New Roman"/>
          <w:b/>
          <w:color w:val="0D6E85"/>
          <w:sz w:val="22"/>
        </w:rPr>
        <w:t>1.2 Problem Statement</w:t>
      </w:r>
    </w:p>
    <w:tbl>
      <w:tblPr>
        <w:tblW w:type="auto" w:w="0"/>
        <w:jc w:val="center"/>
        <w:tblLook w:firstColumn="1" w:firstRow="1" w:lastColumn="0" w:lastRow="0" w:noHBand="0" w:noVBand="1" w:val="04A0"/>
      </w:tblPr>
      <w:tblGrid>
        <w:gridCol w:w="9360"/>
      </w:tblGrid>
      <w:tr>
        <w:tc>
          <w:tcPr>
            <w:tcW w:type="dxa" w:w="9360"/>
            <w:shd w:fill="F0FDFA"/>
            <w:tcMar>
              <w:top w:w="100" w:type="dxa"/>
              <w:bottom w:w="100" w:type="dxa"/>
              <w:left w:w="140" w:type="dxa"/>
              <w:right w:w="140" w:type="dxa"/>
            </w:tcMar>
            <w:tcBorders>
              <w:left w:val="single" w:sz="32" w:space="0" w:color="0D9488"/>
              <w:top w:val="none"/>
              <w:right w:val="none"/>
              <w:bottom w:val="none"/>
            </w:tcBorders>
          </w:tcPr>
          <w:p>
            <w:pPr>
              <w:spacing w:before="40" w:after="40" w:line="276" w:lineRule="auto"/>
            </w:pPr>
            <w:r>
              <w:rPr>
                <w:rFonts w:ascii="Times New Roman" w:hAnsi="Times New Roman"/>
                <w:b/>
                <w:color w:val="0D9488"/>
                <w:sz w:val="21"/>
              </w:rPr>
              <w:t>Problem statement</w:t>
              <w:br/>
            </w:r>
            <w:r>
              <w:rPr>
                <w:rFonts w:ascii="Times New Roman" w:hAnsi="Times New Roman"/>
                <w:color w:val="1E293B"/>
                <w:sz w:val="19"/>
              </w:rPr>
              <w:t>Older adults who find complex daily routines difficult may need accessible reminders and low-friction ways to record task status. Family caregivers who live separately may lack a reliable, consent-based view of those self-reported events. Existing tools in separate categories may address only parts of this workflow. CogniCare proposes to integrate routine support, accessible activities, and caregiver visibility in one web-based system while preserving user choice and clearly stating the limits of monitoring.</w:t>
            </w:r>
          </w:p>
        </w:tc>
      </w:tr>
    </w:tbl>
    <w:p>
      <w:pPr>
        <w:spacing w:before="0" w:after="80" w:line="283" w:lineRule="auto"/>
        <w:jc w:val="left"/>
      </w:pPr>
    </w:p>
    <w:p>
      <w:pPr>
        <w:spacing w:before="120" w:after="40" w:line="276" w:lineRule="auto"/>
        <w:jc w:val="left"/>
      </w:pPr>
      <w:r>
        <w:rPr>
          <w:rFonts w:ascii="Times New Roman" w:hAnsi="Times New Roman"/>
          <w:b/>
          <w:color w:val="0D6E85"/>
          <w:sz w:val="22"/>
        </w:rPr>
        <w:t>1.3 Aim</w:t>
      </w:r>
    </w:p>
    <w:p>
      <w:pPr>
        <w:spacing w:before="0" w:after="80" w:line="283" w:lineRule="auto"/>
        <w:jc w:val="left"/>
      </w:pPr>
      <w:r>
        <w:rPr>
          <w:rFonts w:ascii="Times New Roman" w:hAnsi="Times New Roman"/>
          <w:b w:val="0"/>
          <w:i w:val="0"/>
          <w:color w:val="1E293B"/>
          <w:sz w:val="20"/>
        </w:rPr>
        <w:t>To design and evaluate a secure, accessible PWA that supports daily routine management for older adults and provides consented caregivers with transparent, user-reported routine information.</w:t>
      </w:r>
    </w:p>
    <w:p>
      <w:pPr>
        <w:spacing w:before="120" w:after="40" w:line="276" w:lineRule="auto"/>
        <w:jc w:val="left"/>
      </w:pPr>
      <w:r>
        <w:rPr>
          <w:rFonts w:ascii="Times New Roman" w:hAnsi="Times New Roman"/>
          <w:b/>
          <w:color w:val="0D6E85"/>
          <w:sz w:val="22"/>
        </w:rPr>
        <w:t>1.4 Objectives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Provide a senior-facing “My Day” screen with readable labels, predictable navigation, adjustable text scale, and optional voice guidance.</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Represent medication and non-medication reminders with a deterministic state machine and auditable timestamps.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Provide simple cognitive activities for engagement and practice, with repeatable scoring that is explicitly non-diagnostic.</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Allow a user to pair with a caregiver through expiring invitations and granular, revocable permissions.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Offer caregivers a dashboard showing reminder states, declared acknowledgements, and descriptive activity trends without claiming clinical interpretation.</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Add a bounded conversational assistant with explicit safety rules and a predictable offline fallback.</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Validate the prototype using automated tests, accessibility review, security checks, offline scenarios, and formative usability evaluation.</w:t>
      </w:r>
    </w:p>
    <w:p>
      <w:r>
        <w:br w:type="page"/>
      </w:r>
    </w:p>
    <w:p>
      <w:pPr>
        <w:spacing w:before="120" w:after="40" w:line="276" w:lineRule="auto"/>
        <w:jc w:val="left"/>
      </w:pPr>
      <w:r>
        <w:rPr>
          <w:rFonts w:ascii="Times New Roman" w:hAnsi="Times New Roman"/>
          <w:b/>
          <w:color w:val="0D6E85"/>
          <w:sz w:val="22"/>
        </w:rPr>
        <w:t>1.5 Scope and Boundaries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4680"/>
            <w:shd w:fill="0F2C59"/>
            <w:tcMar>
              <w:top w:w="55" w:type="dxa"/>
              <w:bottom w:w="55" w:type="dxa"/>
              <w:left w:w="70" w:type="dxa"/>
              <w:right w:w="70" w:type="dxa"/>
            </w:tcMar>
          </w:tcPr>
          <w:p>
            <w:r>
              <w:rPr>
                <w:rFonts w:ascii="Times New Roman" w:hAnsi="Times New Roman"/>
                <w:b/>
                <w:color w:val="FFFFFF"/>
                <w:sz w:val="18"/>
              </w:rPr>
              <w:t>In scope for the prototype</w:t>
            </w:r>
          </w:p>
        </w:tc>
        <w:tc>
          <w:tcPr>
            <w:tcW w:type="dxa" w:w="4680"/>
            <w:shd w:fill="0F2C59"/>
            <w:tcMar>
              <w:top w:w="55" w:type="dxa"/>
              <w:bottom w:w="55" w:type="dxa"/>
              <w:left w:w="70" w:type="dxa"/>
              <w:right w:w="70" w:type="dxa"/>
            </w:tcMar>
          </w:tcPr>
          <w:p>
            <w:r>
              <w:rPr>
                <w:rFonts w:ascii="Times New Roman" w:hAnsi="Times New Roman"/>
                <w:b/>
                <w:color w:val="FFFFFF"/>
                <w:sz w:val="18"/>
              </w:rPr>
              <w:t>Out of scope for this capstone prototype</w:t>
            </w:r>
          </w:p>
        </w:tc>
      </w:tr>
      <w:tr>
        <w:tc>
          <w:tcPr>
            <w:tcW w:type="dxa" w:w="4680"/>
            <w:shd w:fill="F8FAFC"/>
            <w:tcMar>
              <w:top w:w="45" w:type="dxa"/>
              <w:bottom w:w="45" w:type="dxa"/>
              <w:left w:w="70" w:type="dxa"/>
              <w:right w:w="70" w:type="dxa"/>
            </w:tcMar>
          </w:tcPr>
          <w:p>
            <w:r>
              <w:rPr>
                <w:rFonts w:ascii="Times New Roman" w:hAnsi="Times New Roman"/>
                <w:color w:val="1E293B"/>
                <w:sz w:val="17"/>
              </w:rPr>
              <w:t>Accounts, role-based access, consented caregiver pairing</w:t>
            </w:r>
          </w:p>
        </w:tc>
        <w:tc>
          <w:tcPr>
            <w:tcW w:type="dxa" w:w="4680"/>
            <w:shd w:fill="F8FAFC"/>
            <w:tcMar>
              <w:top w:w="45" w:type="dxa"/>
              <w:bottom w:w="45" w:type="dxa"/>
              <w:left w:w="70" w:type="dxa"/>
              <w:right w:w="70" w:type="dxa"/>
            </w:tcMar>
          </w:tcPr>
          <w:p>
            <w:r>
              <w:rPr>
                <w:rFonts w:ascii="Times New Roman" w:hAnsi="Times New Roman"/>
                <w:color w:val="1E293B"/>
                <w:sz w:val="17"/>
              </w:rPr>
              <w:t>Clinical diagnosis, prognosis, or cognitive-disorder screening</w:t>
            </w:r>
          </w:p>
        </w:tc>
      </w:tr>
      <w:tr>
        <w:tc>
          <w:tcPr>
            <w:tcW w:type="dxa" w:w="4680"/>
            <w:shd w:fill="FFFFFF"/>
            <w:tcMar>
              <w:top w:w="45" w:type="dxa"/>
              <w:bottom w:w="45" w:type="dxa"/>
              <w:left w:w="70" w:type="dxa"/>
              <w:right w:w="70" w:type="dxa"/>
            </w:tcMar>
          </w:tcPr>
          <w:p>
            <w:r>
              <w:rPr>
                <w:rFonts w:ascii="Times New Roman" w:hAnsi="Times New Roman"/>
                <w:color w:val="1E293B"/>
                <w:sz w:val="17"/>
              </w:rPr>
              <w:t>Routine configuration, reminder states, self-reported acknowledgement</w:t>
            </w:r>
          </w:p>
        </w:tc>
        <w:tc>
          <w:tcPr>
            <w:tcW w:type="dxa" w:w="4680"/>
            <w:shd w:fill="FFFFFF"/>
            <w:tcMar>
              <w:top w:w="45" w:type="dxa"/>
              <w:bottom w:w="45" w:type="dxa"/>
              <w:left w:w="70" w:type="dxa"/>
              <w:right w:w="70" w:type="dxa"/>
            </w:tcMar>
          </w:tcPr>
          <w:p>
            <w:r>
              <w:rPr>
                <w:rFonts w:ascii="Times New Roman" w:hAnsi="Times New Roman"/>
                <w:color w:val="1E293B"/>
                <w:sz w:val="17"/>
              </w:rPr>
              <w:t>Verification that a person physically swallowed a medicine</w:t>
            </w:r>
          </w:p>
        </w:tc>
      </w:tr>
      <w:tr>
        <w:tc>
          <w:tcPr>
            <w:tcW w:type="dxa" w:w="4680"/>
            <w:shd w:fill="F8FAFC"/>
            <w:tcMar>
              <w:top w:w="45" w:type="dxa"/>
              <w:bottom w:w="45" w:type="dxa"/>
              <w:left w:w="70" w:type="dxa"/>
              <w:right w:w="70" w:type="dxa"/>
            </w:tcMar>
          </w:tcPr>
          <w:p>
            <w:r>
              <w:rPr>
                <w:rFonts w:ascii="Times New Roman" w:hAnsi="Times New Roman"/>
                <w:color w:val="1E293B"/>
                <w:sz w:val="17"/>
              </w:rPr>
              <w:t>Small cognitive-activity catalogue and deterministic score calculation</w:t>
            </w:r>
          </w:p>
        </w:tc>
        <w:tc>
          <w:tcPr>
            <w:tcW w:type="dxa" w:w="4680"/>
            <w:shd w:fill="F8FAFC"/>
            <w:tcMar>
              <w:top w:w="45" w:type="dxa"/>
              <w:bottom w:w="45" w:type="dxa"/>
              <w:left w:w="70" w:type="dxa"/>
              <w:right w:w="70" w:type="dxa"/>
            </w:tcMar>
          </w:tcPr>
          <w:p>
            <w:r>
              <w:rPr>
                <w:rFonts w:ascii="Times New Roman" w:hAnsi="Times New Roman"/>
                <w:color w:val="1E293B"/>
                <w:sz w:val="17"/>
              </w:rPr>
              <w:t>Prescription recommendations, dosage changes, or treatment decisions</w:t>
            </w:r>
          </w:p>
        </w:tc>
      </w:tr>
      <w:tr>
        <w:tc>
          <w:tcPr>
            <w:tcW w:type="dxa" w:w="4680"/>
            <w:shd w:fill="FFFFFF"/>
            <w:tcMar>
              <w:top w:w="45" w:type="dxa"/>
              <w:bottom w:w="45" w:type="dxa"/>
              <w:left w:w="70" w:type="dxa"/>
              <w:right w:w="70" w:type="dxa"/>
            </w:tcMar>
          </w:tcPr>
          <w:p>
            <w:r>
              <w:rPr>
                <w:rFonts w:ascii="Times New Roman" w:hAnsi="Times New Roman"/>
                <w:color w:val="1E293B"/>
                <w:sz w:val="17"/>
              </w:rPr>
              <w:t>Caregiver dashboard, missed-reminder alerts and audit events</w:t>
            </w:r>
          </w:p>
        </w:tc>
        <w:tc>
          <w:tcPr>
            <w:tcW w:type="dxa" w:w="4680"/>
            <w:shd w:fill="FFFFFF"/>
            <w:tcMar>
              <w:top w:w="45" w:type="dxa"/>
              <w:bottom w:w="45" w:type="dxa"/>
              <w:left w:w="70" w:type="dxa"/>
              <w:right w:w="70" w:type="dxa"/>
            </w:tcMar>
          </w:tcPr>
          <w:p>
            <w:r>
              <w:rPr>
                <w:rFonts w:ascii="Times New Roman" w:hAnsi="Times New Roman"/>
                <w:color w:val="1E293B"/>
                <w:sz w:val="17"/>
              </w:rPr>
              <w:t>Guaranteed emergency-service dispatch or guaranteed alert delivery</w:t>
            </w:r>
          </w:p>
        </w:tc>
      </w:tr>
      <w:tr>
        <w:tc>
          <w:tcPr>
            <w:tcW w:type="dxa" w:w="4680"/>
            <w:shd w:fill="F8FAFC"/>
            <w:tcMar>
              <w:top w:w="45" w:type="dxa"/>
              <w:bottom w:w="45" w:type="dxa"/>
              <w:left w:w="70" w:type="dxa"/>
              <w:right w:w="70" w:type="dxa"/>
            </w:tcMar>
          </w:tcPr>
          <w:p>
            <w:r>
              <w:rPr>
                <w:rFonts w:ascii="Times New Roman" w:hAnsi="Times New Roman"/>
                <w:color w:val="1E293B"/>
                <w:sz w:val="17"/>
              </w:rPr>
              <w:t>Selected offline access to cached routines and activities</w:t>
            </w:r>
          </w:p>
        </w:tc>
        <w:tc>
          <w:tcPr>
            <w:tcW w:type="dxa" w:w="4680"/>
            <w:shd w:fill="F8FAFC"/>
            <w:tcMar>
              <w:top w:w="45" w:type="dxa"/>
              <w:bottom w:w="45" w:type="dxa"/>
              <w:left w:w="70" w:type="dxa"/>
              <w:right w:w="70" w:type="dxa"/>
            </w:tcMar>
          </w:tcPr>
          <w:p>
            <w:r>
              <w:rPr>
                <w:rFonts w:ascii="Times New Roman" w:hAnsi="Times New Roman"/>
                <w:color w:val="1E293B"/>
                <w:sz w:val="17"/>
              </w:rPr>
              <w:t>Full offline AI conversation or reliable remote alerting without connectivity</w:t>
            </w:r>
          </w:p>
        </w:tc>
      </w:tr>
      <w:tr>
        <w:tc>
          <w:tcPr>
            <w:tcW w:type="dxa" w:w="4680"/>
            <w:shd w:fill="FFFFFF"/>
            <w:tcMar>
              <w:top w:w="45" w:type="dxa"/>
              <w:bottom w:w="45" w:type="dxa"/>
              <w:left w:w="70" w:type="dxa"/>
              <w:right w:w="70" w:type="dxa"/>
            </w:tcMar>
          </w:tcPr>
          <w:p>
            <w:r>
              <w:rPr>
                <w:rFonts w:ascii="Times New Roman" w:hAnsi="Times New Roman"/>
                <w:color w:val="1E293B"/>
                <w:sz w:val="17"/>
              </w:rPr>
              <w:t>Supportive conversational interaction with safety constraints</w:t>
            </w:r>
          </w:p>
        </w:tc>
        <w:tc>
          <w:tcPr>
            <w:tcW w:type="dxa" w:w="4680"/>
            <w:shd w:fill="FFFFFF"/>
            <w:tcMar>
              <w:top w:w="45" w:type="dxa"/>
              <w:bottom w:w="45" w:type="dxa"/>
              <w:left w:w="70" w:type="dxa"/>
              <w:right w:w="70" w:type="dxa"/>
            </w:tcMar>
          </w:tcPr>
          <w:p>
            <w:r>
              <w:rPr>
                <w:rFonts w:ascii="Times New Roman" w:hAnsi="Times New Roman"/>
                <w:color w:val="1E293B"/>
                <w:sz w:val="17"/>
              </w:rPr>
              <w:t>Claims of clinical effectiveness or regulatory certification</w:t>
            </w:r>
          </w:p>
        </w:tc>
      </w:tr>
    </w:tbl>
    <w:p>
      <w:pPr>
        <w:spacing w:before="0" w:after="120" w:line="283" w:lineRule="auto"/>
        <w:jc w:val="left"/>
      </w:pPr>
    </w:p>
    <w:p>
      <w:pPr>
        <w:spacing w:before="160" w:after="60" w:line="276" w:lineRule="auto"/>
        <w:jc w:val="left"/>
      </w:pPr>
      <w:r>
        <w:rPr>
          <w:rFonts w:ascii="Times New Roman" w:hAnsi="Times New Roman"/>
          <w:b/>
          <w:color w:val="0F2C59"/>
          <w:sz w:val="26"/>
        </w:rPr>
        <w:t>2. Related Work and Design Gap</w:t>
      </w:r>
    </w:p>
    <w:p>
      <w:pPr>
        <w:spacing w:before="120" w:after="40" w:line="276" w:lineRule="auto"/>
        <w:jc w:val="left"/>
      </w:pPr>
      <w:r>
        <w:rPr>
          <w:rFonts w:ascii="Times New Roman" w:hAnsi="Times New Roman"/>
          <w:b/>
          <w:color w:val="0D6E85"/>
          <w:sz w:val="22"/>
        </w:rPr>
        <w:t>2.1 Review of Solution Categories</w:t>
      </w:r>
    </w:p>
    <w:p>
      <w:pPr>
        <w:spacing w:before="0" w:after="80" w:line="283" w:lineRule="auto"/>
        <w:jc w:val="left"/>
      </w:pPr>
      <w:r>
        <w:rPr>
          <w:rFonts w:ascii="Times New Roman" w:hAnsi="Times New Roman"/>
          <w:b w:val="0"/>
          <w:i w:val="0"/>
          <w:color w:val="1E293B"/>
          <w:sz w:val="20"/>
        </w:rPr>
        <w:t>This report uses a preliminary category-level comparison to clarify the proposed design. It is not a systematic literature review or a controlled product benchmark. Commercial features, accessibility, device compatibility, and pricing vary by region and subscription plan; these details must be verified from current first-party sources before a final comparative claim is made.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55" w:type="dxa"/>
              <w:bottom w:w="55" w:type="dxa"/>
              <w:left w:w="70" w:type="dxa"/>
              <w:right w:w="70" w:type="dxa"/>
            </w:tcMar>
          </w:tcPr>
          <w:p>
            <w:r>
              <w:rPr>
                <w:rFonts w:ascii="Times New Roman" w:hAnsi="Times New Roman"/>
                <w:b/>
                <w:color w:val="FFFFFF"/>
                <w:sz w:val="18"/>
              </w:rPr>
              <w:t>Solution category</w:t>
            </w:r>
          </w:p>
        </w:tc>
        <w:tc>
          <w:tcPr>
            <w:tcW w:type="dxa" w:w="3120"/>
            <w:shd w:fill="0F2C59"/>
            <w:tcMar>
              <w:top w:w="55" w:type="dxa"/>
              <w:bottom w:w="55" w:type="dxa"/>
              <w:left w:w="70" w:type="dxa"/>
              <w:right w:w="70" w:type="dxa"/>
            </w:tcMar>
          </w:tcPr>
          <w:p>
            <w:r>
              <w:rPr>
                <w:rFonts w:ascii="Times New Roman" w:hAnsi="Times New Roman"/>
                <w:b/>
                <w:color w:val="FFFFFF"/>
                <w:sz w:val="18"/>
              </w:rPr>
              <w:t>Potential value</w:t>
            </w:r>
          </w:p>
        </w:tc>
        <w:tc>
          <w:tcPr>
            <w:tcW w:type="dxa" w:w="3120"/>
            <w:shd w:fill="0F2C59"/>
            <w:tcMar>
              <w:top w:w="55" w:type="dxa"/>
              <w:bottom w:w="55" w:type="dxa"/>
              <w:left w:w="70" w:type="dxa"/>
              <w:right w:w="70" w:type="dxa"/>
            </w:tcMar>
          </w:tcPr>
          <w:p>
            <w:r>
              <w:rPr>
                <w:rFonts w:ascii="Times New Roman" w:hAnsi="Times New Roman"/>
                <w:b/>
                <w:color w:val="FFFFFF"/>
                <w:sz w:val="18"/>
              </w:rPr>
              <w:t>Design opportunity for CogniCare</w:t>
            </w:r>
          </w:p>
        </w:tc>
      </w:tr>
      <w:tr>
        <w:tc>
          <w:tcPr>
            <w:tcW w:type="dxa" w:w="3120"/>
            <w:shd w:fill="F8FAFC"/>
            <w:tcMar>
              <w:top w:w="45" w:type="dxa"/>
              <w:bottom w:w="45" w:type="dxa"/>
              <w:left w:w="70" w:type="dxa"/>
              <w:right w:w="70" w:type="dxa"/>
            </w:tcMar>
          </w:tcPr>
          <w:p>
            <w:r>
              <w:rPr>
                <w:rFonts w:ascii="Times New Roman" w:hAnsi="Times New Roman"/>
                <w:color w:val="1E293B"/>
                <w:sz w:val="17"/>
              </w:rPr>
              <w:t>Cognitive-training applications</w:t>
            </w:r>
          </w:p>
        </w:tc>
        <w:tc>
          <w:tcPr>
            <w:tcW w:type="dxa" w:w="3120"/>
            <w:shd w:fill="F8FAFC"/>
            <w:tcMar>
              <w:top w:w="45" w:type="dxa"/>
              <w:bottom w:w="45" w:type="dxa"/>
              <w:left w:w="70" w:type="dxa"/>
              <w:right w:w="70" w:type="dxa"/>
            </w:tcMar>
          </w:tcPr>
          <w:p>
            <w:r>
              <w:rPr>
                <w:rFonts w:ascii="Times New Roman" w:hAnsi="Times New Roman"/>
                <w:color w:val="1E293B"/>
                <w:sz w:val="17"/>
              </w:rPr>
              <w:t>Offer structured games and repeated practice; may help users engage with short activities.</w:t>
            </w:r>
          </w:p>
        </w:tc>
        <w:tc>
          <w:tcPr>
            <w:tcW w:type="dxa" w:w="3120"/>
            <w:shd w:fill="F8FAFC"/>
            <w:tcMar>
              <w:top w:w="45" w:type="dxa"/>
              <w:bottom w:w="45" w:type="dxa"/>
              <w:left w:w="70" w:type="dxa"/>
              <w:right w:w="70" w:type="dxa"/>
            </w:tcMar>
          </w:tcPr>
          <w:p>
            <w:r>
              <w:rPr>
                <w:rFonts w:ascii="Times New Roman" w:hAnsi="Times New Roman"/>
                <w:color w:val="1E293B"/>
                <w:sz w:val="17"/>
              </w:rPr>
              <w:t>Use calm, untimed-by-default activities; avoid punitive feedback; keep results descriptive and non-diagnostic.</w:t>
            </w:r>
          </w:p>
        </w:tc>
      </w:tr>
      <w:tr>
        <w:tc>
          <w:tcPr>
            <w:tcW w:type="dxa" w:w="3120"/>
            <w:shd w:fill="FFFFFF"/>
            <w:tcMar>
              <w:top w:w="45" w:type="dxa"/>
              <w:bottom w:w="45" w:type="dxa"/>
              <w:left w:w="70" w:type="dxa"/>
              <w:right w:w="70" w:type="dxa"/>
            </w:tcMar>
          </w:tcPr>
          <w:p>
            <w:r>
              <w:rPr>
                <w:rFonts w:ascii="Times New Roman" w:hAnsi="Times New Roman"/>
                <w:color w:val="1E293B"/>
                <w:sz w:val="17"/>
              </w:rPr>
              <w:t>Medication and routine reminder applications</w:t>
            </w:r>
          </w:p>
        </w:tc>
        <w:tc>
          <w:tcPr>
            <w:tcW w:type="dxa" w:w="3120"/>
            <w:shd w:fill="FFFFFF"/>
            <w:tcMar>
              <w:top w:w="45" w:type="dxa"/>
              <w:bottom w:w="45" w:type="dxa"/>
              <w:left w:w="70" w:type="dxa"/>
              <w:right w:w="70" w:type="dxa"/>
            </w:tcMar>
          </w:tcPr>
          <w:p>
            <w:r>
              <w:rPr>
                <w:rFonts w:ascii="Times New Roman" w:hAnsi="Times New Roman"/>
                <w:color w:val="1E293B"/>
                <w:sz w:val="17"/>
              </w:rPr>
              <w:t>Offer scheduled prompts, confirmation flows, and medication lists.</w:t>
            </w:r>
          </w:p>
        </w:tc>
        <w:tc>
          <w:tcPr>
            <w:tcW w:type="dxa" w:w="3120"/>
            <w:shd w:fill="FFFFFF"/>
            <w:tcMar>
              <w:top w:w="45" w:type="dxa"/>
              <w:bottom w:w="45" w:type="dxa"/>
              <w:left w:w="70" w:type="dxa"/>
              <w:right w:w="70" w:type="dxa"/>
            </w:tcMar>
          </w:tcPr>
          <w:p>
            <w:r>
              <w:rPr>
                <w:rFonts w:ascii="Times New Roman" w:hAnsi="Times New Roman"/>
                <w:color w:val="1E293B"/>
                <w:sz w:val="17"/>
              </w:rPr>
              <w:t>Prioritize large controls, low-step acknowledgement, caregiver consent, and visible reminder state history.</w:t>
            </w:r>
          </w:p>
        </w:tc>
      </w:tr>
      <w:tr>
        <w:tc>
          <w:tcPr>
            <w:tcW w:type="dxa" w:w="3120"/>
            <w:shd w:fill="F8FAFC"/>
            <w:tcMar>
              <w:top w:w="45" w:type="dxa"/>
              <w:bottom w:w="45" w:type="dxa"/>
              <w:left w:w="70" w:type="dxa"/>
              <w:right w:w="70" w:type="dxa"/>
            </w:tcMar>
          </w:tcPr>
          <w:p>
            <w:r>
              <w:rPr>
                <w:rFonts w:ascii="Times New Roman" w:hAnsi="Times New Roman"/>
                <w:color w:val="1E293B"/>
                <w:sz w:val="17"/>
              </w:rPr>
              <w:t>Voice assistants and companion devices</w:t>
            </w:r>
          </w:p>
        </w:tc>
        <w:tc>
          <w:tcPr>
            <w:tcW w:type="dxa" w:w="3120"/>
            <w:shd w:fill="F8FAFC"/>
            <w:tcMar>
              <w:top w:w="45" w:type="dxa"/>
              <w:bottom w:w="45" w:type="dxa"/>
              <w:left w:w="70" w:type="dxa"/>
              <w:right w:w="70" w:type="dxa"/>
            </w:tcMar>
          </w:tcPr>
          <w:p>
            <w:r>
              <w:rPr>
                <w:rFonts w:ascii="Times New Roman" w:hAnsi="Times New Roman"/>
                <w:color w:val="1E293B"/>
                <w:sz w:val="17"/>
              </w:rPr>
              <w:t>Can provide conversational access, prompts, and social interaction.</w:t>
            </w:r>
          </w:p>
        </w:tc>
        <w:tc>
          <w:tcPr>
            <w:tcW w:type="dxa" w:w="3120"/>
            <w:shd w:fill="F8FAFC"/>
            <w:tcMar>
              <w:top w:w="45" w:type="dxa"/>
              <w:bottom w:w="45" w:type="dxa"/>
              <w:left w:w="70" w:type="dxa"/>
              <w:right w:w="70" w:type="dxa"/>
            </w:tcMar>
          </w:tcPr>
          <w:p>
            <w:r>
              <w:rPr>
                <w:rFonts w:ascii="Times New Roman" w:hAnsi="Times New Roman"/>
                <w:color w:val="1E293B"/>
                <w:sz w:val="17"/>
              </w:rPr>
              <w:t>Offer an affordable browser-based option with an explicit mute control and a clear boundary between conversation and safety logic.</w:t>
            </w:r>
          </w:p>
        </w:tc>
      </w:tr>
      <w:tr>
        <w:tc>
          <w:tcPr>
            <w:tcW w:type="dxa" w:w="3120"/>
            <w:shd w:fill="FFFFFF"/>
            <w:tcMar>
              <w:top w:w="45" w:type="dxa"/>
              <w:bottom w:w="45" w:type="dxa"/>
              <w:left w:w="70" w:type="dxa"/>
              <w:right w:w="70" w:type="dxa"/>
            </w:tcMar>
          </w:tcPr>
          <w:p>
            <w:r>
              <w:rPr>
                <w:rFonts w:ascii="Times New Roman" w:hAnsi="Times New Roman"/>
                <w:color w:val="1E293B"/>
                <w:sz w:val="17"/>
              </w:rPr>
              <w:t>Caregiver monitoring tools</w:t>
            </w:r>
          </w:p>
        </w:tc>
        <w:tc>
          <w:tcPr>
            <w:tcW w:type="dxa" w:w="3120"/>
            <w:shd w:fill="FFFFFF"/>
            <w:tcMar>
              <w:top w:w="45" w:type="dxa"/>
              <w:bottom w:w="45" w:type="dxa"/>
              <w:left w:w="70" w:type="dxa"/>
              <w:right w:w="70" w:type="dxa"/>
            </w:tcMar>
          </w:tcPr>
          <w:p>
            <w:r>
              <w:rPr>
                <w:rFonts w:ascii="Times New Roman" w:hAnsi="Times New Roman"/>
                <w:color w:val="1E293B"/>
                <w:sz w:val="17"/>
              </w:rPr>
              <w:t>Can help a caregiver receive updates or manage care-related tasks.</w:t>
            </w:r>
          </w:p>
        </w:tc>
        <w:tc>
          <w:tcPr>
            <w:tcW w:type="dxa" w:w="3120"/>
            <w:shd w:fill="FFFFFF"/>
            <w:tcMar>
              <w:top w:w="45" w:type="dxa"/>
              <w:bottom w:w="45" w:type="dxa"/>
              <w:left w:w="70" w:type="dxa"/>
              <w:right w:w="70" w:type="dxa"/>
            </w:tcMar>
          </w:tcPr>
          <w:p>
            <w:r>
              <w:rPr>
                <w:rFonts w:ascii="Times New Roman" w:hAnsi="Times New Roman"/>
                <w:color w:val="1E293B"/>
                <w:sz w:val="17"/>
              </w:rPr>
              <w:t>Use granular consent and show what is reported, when it was reported, and what remains unknown.</w:t>
            </w:r>
          </w:p>
        </w:tc>
      </w:tr>
    </w:tbl>
    <w:p>
      <w:r>
        <w:br w:type="page"/>
      </w:r>
    </w:p>
    <w:p>
      <w:pPr>
        <w:spacing w:before="120" w:after="40" w:line="276" w:lineRule="auto"/>
        <w:jc w:val="left"/>
      </w:pPr>
      <w:r>
        <w:rPr>
          <w:rFonts w:ascii="Times New Roman" w:hAnsi="Times New Roman"/>
          <w:b/>
          <w:color w:val="0D6E85"/>
          <w:sz w:val="22"/>
        </w:rPr>
        <w:t>2.2 Design Gap</w:t>
      </w:r>
    </w:p>
    <w:p>
      <w:pPr>
        <w:spacing w:before="0" w:after="80" w:line="283" w:lineRule="auto"/>
        <w:jc w:val="left"/>
      </w:pPr>
      <w:r>
        <w:rPr>
          <w:rFonts w:ascii="Times New Roman" w:hAnsi="Times New Roman"/>
          <w:b w:val="0"/>
          <w:i w:val="0"/>
          <w:color w:val="1E293B"/>
          <w:sz w:val="20"/>
        </w:rPr>
        <w:t>The proposed contribution is an integrated workflow rather than a claim that no comparable product exists. CogniCare aims to combine accessible routine management, user-reported reminder history, simple cognitive activities, caregiver visibility, and a safety-constrained conversational interface in one open-web implementation. The integration hypothesis should be assessed through a product-specific comparison and user evaluation during later milestones.</w:t>
      </w:r>
    </w:p>
    <w:p>
      <w:pPr>
        <w:spacing w:before="120" w:after="40" w:line="276" w:lineRule="auto"/>
        <w:jc w:val="left"/>
      </w:pPr>
      <w:r>
        <w:rPr>
          <w:rFonts w:ascii="Times New Roman" w:hAnsi="Times New Roman"/>
          <w:b/>
          <w:color w:val="0D6E85"/>
          <w:sz w:val="22"/>
        </w:rPr>
        <w:t>2.3 Design Principles Derived from the Review</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Make the next action obvious: show a small number of primary choices and use direct language.</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Keep care events deterministic: reminders, acknowledgements, missed states, and alert records must not depend on AI output.</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Treat caregiver access as a permissioned relationship, not an automatic entitlement.</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Separate engagement scores from clinical conclusions; show context and uncertainty.</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Design for poor connectivity and make limitations visible instead of implying that every feature remains available offline.</w:t>
      </w:r>
    </w:p>
    <w:p>
      <w:pPr>
        <w:spacing w:before="0" w:after="80" w:line="283" w:lineRule="auto"/>
        <w:jc w:val="left"/>
      </w:pPr>
    </w:p>
    <w:p>
      <w:pPr>
        <w:spacing w:before="160" w:after="60" w:line="276" w:lineRule="auto"/>
        <w:jc w:val="left"/>
      </w:pPr>
      <w:r>
        <w:rPr>
          <w:rFonts w:ascii="Times New Roman" w:hAnsi="Times New Roman"/>
          <w:b/>
          <w:color w:val="0F2C59"/>
          <w:sz w:val="26"/>
        </w:rPr>
        <w:t>3. SDG Alignment and Responsible Design</w:t>
      </w:r>
    </w:p>
    <w:p>
      <w:pPr>
        <w:spacing w:before="120" w:after="40" w:line="276" w:lineRule="auto"/>
        <w:jc w:val="left"/>
      </w:pPr>
      <w:r>
        <w:rPr>
          <w:rFonts w:ascii="Times New Roman" w:hAnsi="Times New Roman"/>
          <w:b/>
          <w:color w:val="0D6E85"/>
          <w:sz w:val="22"/>
        </w:rPr>
        <w:t>3.1 Sustainable Development Goal 3: Good Health and Well-Being</w:t>
      </w:r>
    </w:p>
    <w:p>
      <w:pPr>
        <w:spacing w:before="0" w:after="80" w:line="283" w:lineRule="auto"/>
        <w:jc w:val="left"/>
      </w:pPr>
      <w:r>
        <w:rPr>
          <w:rFonts w:ascii="Times New Roman" w:hAnsi="Times New Roman"/>
          <w:b w:val="0"/>
          <w:i w:val="0"/>
          <w:color w:val="1E293B"/>
          <w:sz w:val="20"/>
        </w:rPr>
        <w:t>SDG 3 seeks to ensure healthy lives and promote well-being for people of all ages [4], [5]. CogniCare aligns with this goal at the level of design intent by supporting routine organization, accessible engagement, and communication between an older adult and a chosen caregiver. The project cannot claim reduced mortality, improved clinical outcomes, or a medication-adherence rate before a suitable evaluation has been conducted.</w:t>
      </w:r>
    </w:p>
    <w:p>
      <w:pPr>
        <w:spacing w:before="120" w:after="40" w:line="276" w:lineRule="auto"/>
        <w:jc w:val="left"/>
      </w:pPr>
      <w:r>
        <w:rPr>
          <w:rFonts w:ascii="Times New Roman" w:hAnsi="Times New Roman"/>
          <w:b/>
          <w:color w:val="0D6E85"/>
          <w:sz w:val="22"/>
        </w:rPr>
        <w:t>3.2 Sustainable Development Goal 10: Reduced Inequalities</w:t>
      </w:r>
    </w:p>
    <w:p>
      <w:pPr>
        <w:spacing w:before="0" w:after="80" w:line="283" w:lineRule="auto"/>
        <w:jc w:val="left"/>
      </w:pPr>
      <w:r>
        <w:rPr>
          <w:rFonts w:ascii="Times New Roman" w:hAnsi="Times New Roman"/>
          <w:b w:val="0"/>
          <w:i w:val="0"/>
          <w:color w:val="1E293B"/>
          <w:sz w:val="20"/>
        </w:rPr>
        <w:t>SDG Target 10.2 calls for promoting social, economic, and political inclusion regardless of age, disability, or other status [4], [6]. CogniCare contributes to this aim by prioritizing accessibility and avoiding proprietary hardware as a prerequisite. A browser-based application does not by itself eliminate affordability, device, language, connectivity, or digital-literacy barriers; these must be considered in design and evaluation.</w:t>
      </w:r>
    </w:p>
    <w:p>
      <w:pPr>
        <w:spacing w:before="120" w:after="40" w:line="276" w:lineRule="auto"/>
        <w:jc w:val="left"/>
      </w:pPr>
      <w:r>
        <w:rPr>
          <w:rFonts w:ascii="Times New Roman" w:hAnsi="Times New Roman"/>
          <w:b/>
          <w:color w:val="0D6E85"/>
          <w:sz w:val="22"/>
        </w:rPr>
        <w:t>3.3 Accessibility Approach</w:t>
      </w:r>
    </w:p>
    <w:p>
      <w:pPr>
        <w:spacing w:before="0" w:after="60" w:line="283" w:lineRule="auto"/>
        <w:jc w:val="left"/>
      </w:pPr>
      <w:r>
        <w:rPr>
          <w:rFonts w:ascii="Times New Roman" w:hAnsi="Times New Roman"/>
          <w:b w:val="0"/>
          <w:i w:val="0"/>
          <w:color w:val="1E293B"/>
          <w:sz w:val="20"/>
        </w:rPr>
        <w:t>The target is WCAG 2.2 Level AA, supported by automated checks and manual testing with keyboard and screen-reader workflows [7]. For normal text, WCAG AA generally requires a contrast ratio of at least 4.5:1; large text generally requires 3:1. The enhanced 7:1 ratio is an AAA criterion for normal text, so 7:1 is retained as a preferred design target where practical, not incorrectly presented as the AA minimum [7].</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Use plain-language labels, a consistent page structure, visible focus states, and semantic form labels.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Adopt 76-by-76 CSS-pixel primary controls as a proposed senior-friendly design target, not as a WCAG requirement; ensure the layout remains usable on smaller screens.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Allow text scaling up to 200% without loss of content or functionality.</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Do not rely on color, sound, animation, or time limits alone to convey important information.</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Provide optional voice output with an always-visible stop or mute control; voice output should default to off unless the user enables it.</w:t>
      </w:r>
    </w:p>
    <w:p>
      <w:r>
        <w:br w:type="page"/>
      </w:r>
    </w:p>
    <w:p>
      <w:pPr>
        <w:spacing w:before="120" w:after="40" w:line="276" w:lineRule="auto"/>
        <w:jc w:val="left"/>
      </w:pPr>
      <w:r>
        <w:rPr>
          <w:rFonts w:ascii="Times New Roman" w:hAnsi="Times New Roman"/>
          <w:b/>
          <w:color w:val="0D6E85"/>
          <w:sz w:val="22"/>
        </w:rPr>
        <w:t>3.4 Privacy, Consent, and Security Principles</w:t>
      </w:r>
    </w:p>
    <w:p>
      <w:pPr>
        <w:spacing w:before="0" w:after="80" w:line="283" w:lineRule="auto"/>
        <w:jc w:val="left"/>
      </w:pPr>
      <w:r>
        <w:rPr>
          <w:rFonts w:ascii="Times New Roman" w:hAnsi="Times New Roman"/>
          <w:b w:val="0"/>
          <w:i w:val="0"/>
          <w:color w:val="1E293B"/>
          <w:sz w:val="20"/>
        </w:rPr>
        <w:t>The prototype should follow privacy-by-design principles: collect only the data needed for the stated feature, explain the purpose in plain language, grant caregiver access only after explicit pairing, support permission revocation, protect sessions, and define retention and deletion behavior before collecting real users’ data. The design should be reviewed against applicable Indian data-protection requirements, including the Digital Personal Data Protection Act, 2023 and notified Rules, with their provisions and commencement timelines checked at implementation time [12].</w:t>
      </w:r>
    </w:p>
    <w:p>
      <w:pPr>
        <w:spacing w:before="0" w:after="80" w:line="283" w:lineRule="auto"/>
        <w:jc w:val="left"/>
      </w:pPr>
      <w:r>
        <w:rPr>
          <w:rFonts w:ascii="Times New Roman" w:hAnsi="Times New Roman"/>
          <w:b w:val="0"/>
          <w:i w:val="0"/>
          <w:color w:val="1E293B"/>
          <w:sz w:val="20"/>
        </w:rPr>
        <w:t>The report does not claim HIPAA or GDPR compliance. Applicability depends on jurisdiction, organizational role, data flows, service providers, and operational controls; compliance requires more than authentication or audit logging. Student testing should use synthetic data unless faculty approval, informed consent, and appropriate safeguards are in place for any study involving people or health-related information.</w:t>
      </w:r>
    </w:p>
    <w:p>
      <w:pPr>
        <w:spacing w:before="120" w:after="40" w:line="276" w:lineRule="auto"/>
        <w:jc w:val="left"/>
      </w:pPr>
      <w:r>
        <w:rPr>
          <w:rFonts w:ascii="Times New Roman" w:hAnsi="Times New Roman"/>
          <w:b/>
          <w:color w:val="0D6E85"/>
          <w:sz w:val="22"/>
        </w:rPr>
        <w:t>3.5 AI Safety Policy</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Non-diagnostic use: the assistant may help with general conversation and app navigation but must not diagnose, prognose, recommend prescription changes, or override professional advice.</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Deterministic control: AI output must never create or modify reminder states, caregiver permissions, SOS state, or numeric activity scores.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Constrained fallback: if the provider is unavailable, use a small set of tested, pre-approved local messages; do not simulate a live model or fabricate personal context.</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Transparency: identify AI-generated interaction where appropriate and give the user a simple way to stop the conversation.</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Data minimization: do not send medication details, identifiers, or activity histories to the AI provider unless the feature requires it, consent and security review allow it, and the request is minimized.</w:t>
      </w:r>
    </w:p>
    <w:p>
      <w:pPr>
        <w:spacing w:before="0" w:after="80" w:line="283" w:lineRule="auto"/>
        <w:jc w:val="left"/>
      </w:pPr>
    </w:p>
    <w:p>
      <w:pPr>
        <w:spacing w:before="160" w:after="60" w:line="276" w:lineRule="auto"/>
        <w:jc w:val="left"/>
      </w:pPr>
      <w:r>
        <w:rPr>
          <w:rFonts w:ascii="Times New Roman" w:hAnsi="Times New Roman"/>
          <w:b/>
          <w:color w:val="0F2C59"/>
          <w:sz w:val="26"/>
        </w:rPr>
        <w:t>4. Stakeholders and Requirements</w:t>
      </w:r>
    </w:p>
    <w:p>
      <w:pPr>
        <w:spacing w:before="120" w:after="40" w:line="276" w:lineRule="auto"/>
        <w:jc w:val="left"/>
      </w:pPr>
      <w:r>
        <w:rPr>
          <w:rFonts w:ascii="Times New Roman" w:hAnsi="Times New Roman"/>
          <w:b/>
          <w:color w:val="0D6E85"/>
          <w:sz w:val="22"/>
        </w:rPr>
        <w:t>4.1 Stakeholder Personas</w:t>
      </w:r>
    </w:p>
    <w:p>
      <w:pPr>
        <w:spacing w:before="0" w:after="60" w:line="283" w:lineRule="auto"/>
        <w:jc w:val="left"/>
      </w:pPr>
      <w:r>
        <w:rPr>
          <w:rFonts w:ascii="Times New Roman" w:hAnsi="Times New Roman"/>
          <w:b w:val="0"/>
          <w:i w:val="0"/>
          <w:color w:val="1E293B"/>
          <w:sz w:val="20"/>
        </w:rPr>
        <w:t>The following personas are illustrative design aids, not real participants or clinical profiles.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55" w:type="dxa"/>
              <w:bottom w:w="55" w:type="dxa"/>
              <w:left w:w="70" w:type="dxa"/>
              <w:right w:w="70" w:type="dxa"/>
            </w:tcMar>
          </w:tcPr>
          <w:p>
            <w:r>
              <w:rPr>
                <w:rFonts w:ascii="Times New Roman" w:hAnsi="Times New Roman"/>
                <w:b/>
                <w:color w:val="FFFFFF"/>
                <w:sz w:val="18"/>
              </w:rPr>
              <w:t>Persona</w:t>
            </w:r>
          </w:p>
        </w:tc>
        <w:tc>
          <w:tcPr>
            <w:tcW w:type="dxa" w:w="3120"/>
            <w:shd w:fill="0F2C59"/>
            <w:tcMar>
              <w:top w:w="55" w:type="dxa"/>
              <w:bottom w:w="55" w:type="dxa"/>
              <w:left w:w="70" w:type="dxa"/>
              <w:right w:w="70" w:type="dxa"/>
            </w:tcMar>
          </w:tcPr>
          <w:p>
            <w:r>
              <w:rPr>
                <w:rFonts w:ascii="Times New Roman" w:hAnsi="Times New Roman"/>
                <w:b/>
                <w:color w:val="FFFFFF"/>
                <w:sz w:val="18"/>
              </w:rPr>
              <w:t>Context</w:t>
            </w:r>
          </w:p>
        </w:tc>
        <w:tc>
          <w:tcPr>
            <w:tcW w:type="dxa" w:w="3120"/>
            <w:shd w:fill="0F2C59"/>
            <w:tcMar>
              <w:top w:w="55" w:type="dxa"/>
              <w:bottom w:w="55" w:type="dxa"/>
              <w:left w:w="70" w:type="dxa"/>
              <w:right w:w="70" w:type="dxa"/>
            </w:tcMar>
          </w:tcPr>
          <w:p>
            <w:r>
              <w:rPr>
                <w:rFonts w:ascii="Times New Roman" w:hAnsi="Times New Roman"/>
                <w:b/>
                <w:color w:val="FFFFFF"/>
                <w:sz w:val="18"/>
              </w:rPr>
              <w:t>Primary needs</w:t>
            </w:r>
          </w:p>
        </w:tc>
      </w:tr>
      <w:tr>
        <w:tc>
          <w:tcPr>
            <w:tcW w:type="dxa" w:w="3120"/>
            <w:shd w:fill="F8FAFC"/>
            <w:tcMar>
              <w:top w:w="45" w:type="dxa"/>
              <w:bottom w:w="45" w:type="dxa"/>
              <w:left w:w="70" w:type="dxa"/>
              <w:right w:w="70" w:type="dxa"/>
            </w:tcMar>
          </w:tcPr>
          <w:p>
            <w:r>
              <w:rPr>
                <w:rFonts w:ascii="Times New Roman" w:hAnsi="Times New Roman"/>
                <w:color w:val="1E293B"/>
                <w:sz w:val="17"/>
              </w:rPr>
              <w:t>Margaret — older adult</w:t>
            </w:r>
          </w:p>
        </w:tc>
        <w:tc>
          <w:tcPr>
            <w:tcW w:type="dxa" w:w="3120"/>
            <w:shd w:fill="F8FAFC"/>
            <w:tcMar>
              <w:top w:w="45" w:type="dxa"/>
              <w:bottom w:w="45" w:type="dxa"/>
              <w:left w:w="70" w:type="dxa"/>
              <w:right w:w="70" w:type="dxa"/>
            </w:tcMar>
          </w:tcPr>
          <w:p>
            <w:r>
              <w:rPr>
                <w:rFonts w:ascii="Times New Roman" w:hAnsi="Times New Roman"/>
                <w:color w:val="1E293B"/>
                <w:sz w:val="17"/>
              </w:rPr>
              <w:t>Illustrative 76-year-old living independently; may have low vision or reduced dexterity and sometimes forgets routine tasks.</w:t>
            </w:r>
          </w:p>
        </w:tc>
        <w:tc>
          <w:tcPr>
            <w:tcW w:type="dxa" w:w="3120"/>
            <w:shd w:fill="F8FAFC"/>
            <w:tcMar>
              <w:top w:w="45" w:type="dxa"/>
              <w:bottom w:w="45" w:type="dxa"/>
              <w:left w:w="70" w:type="dxa"/>
              <w:right w:w="70" w:type="dxa"/>
            </w:tcMar>
          </w:tcPr>
          <w:p>
            <w:r>
              <w:rPr>
                <w:rFonts w:ascii="Times New Roman" w:hAnsi="Times New Roman"/>
                <w:color w:val="1E293B"/>
                <w:sz w:val="17"/>
              </w:rPr>
              <w:t>One clear “My Day” view, large controls, calm prompts, opt-in voice, easy correction and a visible SOS option.</w:t>
            </w:r>
          </w:p>
        </w:tc>
      </w:tr>
      <w:tr>
        <w:tc>
          <w:tcPr>
            <w:tcW w:type="dxa" w:w="3120"/>
            <w:shd w:fill="FFFFFF"/>
            <w:tcMar>
              <w:top w:w="45" w:type="dxa"/>
              <w:bottom w:w="45" w:type="dxa"/>
              <w:left w:w="70" w:type="dxa"/>
              <w:right w:w="70" w:type="dxa"/>
            </w:tcMar>
          </w:tcPr>
          <w:p>
            <w:r>
              <w:rPr>
                <w:rFonts w:ascii="Times New Roman" w:hAnsi="Times New Roman"/>
                <w:color w:val="1E293B"/>
                <w:sz w:val="17"/>
              </w:rPr>
              <w:t>Sarah — family caregiver</w:t>
            </w:r>
          </w:p>
        </w:tc>
        <w:tc>
          <w:tcPr>
            <w:tcW w:type="dxa" w:w="3120"/>
            <w:shd w:fill="FFFFFF"/>
            <w:tcMar>
              <w:top w:w="45" w:type="dxa"/>
              <w:bottom w:w="45" w:type="dxa"/>
              <w:left w:w="70" w:type="dxa"/>
              <w:right w:w="70" w:type="dxa"/>
            </w:tcMar>
          </w:tcPr>
          <w:p>
            <w:r>
              <w:rPr>
                <w:rFonts w:ascii="Times New Roman" w:hAnsi="Times New Roman"/>
                <w:color w:val="1E293B"/>
                <w:sz w:val="17"/>
              </w:rPr>
              <w:t>Illustrative adult daughter who lives separately and wants to support her parent without constant check-ins.</w:t>
            </w:r>
          </w:p>
        </w:tc>
        <w:tc>
          <w:tcPr>
            <w:tcW w:type="dxa" w:w="3120"/>
            <w:shd w:fill="FFFFFF"/>
            <w:tcMar>
              <w:top w:w="45" w:type="dxa"/>
              <w:bottom w:w="45" w:type="dxa"/>
              <w:left w:w="70" w:type="dxa"/>
              <w:right w:w="70" w:type="dxa"/>
            </w:tcMar>
          </w:tcPr>
          <w:p>
            <w:r>
              <w:rPr>
                <w:rFonts w:ascii="Times New Roman" w:hAnsi="Times New Roman"/>
                <w:color w:val="1E293B"/>
                <w:sz w:val="17"/>
              </w:rPr>
              <w:t>Consented access, missed-reminder notifications, trustworthy timestamps, understandable trends and revocable permissions.</w:t>
            </w:r>
          </w:p>
        </w:tc>
      </w:tr>
      <w:tr>
        <w:tc>
          <w:tcPr>
            <w:tcW w:type="dxa" w:w="3120"/>
            <w:shd w:fill="F8FAFC"/>
            <w:tcMar>
              <w:top w:w="45" w:type="dxa"/>
              <w:bottom w:w="45" w:type="dxa"/>
              <w:left w:w="70" w:type="dxa"/>
              <w:right w:w="70" w:type="dxa"/>
            </w:tcMar>
          </w:tcPr>
          <w:p>
            <w:r>
              <w:rPr>
                <w:rFonts w:ascii="Times New Roman" w:hAnsi="Times New Roman"/>
                <w:color w:val="1E293B"/>
                <w:sz w:val="17"/>
              </w:rPr>
              <w:t>Clinician / administrator</w:t>
            </w:r>
          </w:p>
        </w:tc>
        <w:tc>
          <w:tcPr>
            <w:tcW w:type="dxa" w:w="3120"/>
            <w:shd w:fill="F8FAFC"/>
            <w:tcMar>
              <w:top w:w="45" w:type="dxa"/>
              <w:bottom w:w="45" w:type="dxa"/>
              <w:left w:w="70" w:type="dxa"/>
              <w:right w:w="70" w:type="dxa"/>
            </w:tcMar>
          </w:tcPr>
          <w:p>
            <w:r>
              <w:rPr>
                <w:rFonts w:ascii="Times New Roman" w:hAnsi="Times New Roman"/>
                <w:color w:val="1E293B"/>
                <w:sz w:val="17"/>
              </w:rPr>
              <w:t>Secondary stakeholder; not the primary operator of the prototype.</w:t>
            </w:r>
          </w:p>
        </w:tc>
        <w:tc>
          <w:tcPr>
            <w:tcW w:type="dxa" w:w="3120"/>
            <w:shd w:fill="F8FAFC"/>
            <w:tcMar>
              <w:top w:w="45" w:type="dxa"/>
              <w:bottom w:w="45" w:type="dxa"/>
              <w:left w:w="70" w:type="dxa"/>
              <w:right w:w="70" w:type="dxa"/>
            </w:tcMar>
          </w:tcPr>
          <w:p>
            <w:r>
              <w:rPr>
                <w:rFonts w:ascii="Times New Roman" w:hAnsi="Times New Roman"/>
                <w:color w:val="1E293B"/>
                <w:sz w:val="17"/>
              </w:rPr>
              <w:t>Clear statement that outputs are not clinical measurements, role separation, and traceable access logs.</w:t>
            </w:r>
          </w:p>
        </w:tc>
      </w:tr>
    </w:tbl>
    <w:p>
      <w:r>
        <w:br w:type="page"/>
      </w:r>
    </w:p>
    <w:p>
      <w:pPr>
        <w:spacing w:before="120" w:after="40" w:line="276" w:lineRule="auto"/>
        <w:jc w:val="left"/>
      </w:pPr>
      <w:r>
        <w:rPr>
          <w:rFonts w:ascii="Times New Roman" w:hAnsi="Times New Roman"/>
          <w:b/>
          <w:color w:val="0D6E85"/>
          <w:sz w:val="22"/>
        </w:rPr>
        <w:t>4.2 Functional Requirements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50" w:type="dxa"/>
              <w:bottom w:w="50" w:type="dxa"/>
              <w:left w:w="60" w:type="dxa"/>
              <w:right w:w="60" w:type="dxa"/>
            </w:tcMar>
          </w:tcPr>
          <w:p>
            <w:r>
              <w:rPr>
                <w:rFonts w:ascii="Times New Roman" w:hAnsi="Times New Roman"/>
                <w:b/>
                <w:color w:val="FFFFFF"/>
                <w:sz w:val="17"/>
              </w:rPr>
              <w:t>ID / requirement</w:t>
            </w:r>
          </w:p>
        </w:tc>
        <w:tc>
          <w:tcPr>
            <w:tcW w:type="dxa" w:w="3120"/>
            <w:shd w:fill="0F2C59"/>
            <w:tcMar>
              <w:top w:w="50" w:type="dxa"/>
              <w:bottom w:w="50" w:type="dxa"/>
              <w:left w:w="60" w:type="dxa"/>
              <w:right w:w="60" w:type="dxa"/>
            </w:tcMar>
          </w:tcPr>
          <w:p>
            <w:r>
              <w:rPr>
                <w:rFonts w:ascii="Times New Roman" w:hAnsi="Times New Roman"/>
                <w:b/>
                <w:color w:val="FFFFFF"/>
                <w:sz w:val="17"/>
              </w:rPr>
              <w:t>Description</w:t>
            </w:r>
          </w:p>
        </w:tc>
        <w:tc>
          <w:tcPr>
            <w:tcW w:type="dxa" w:w="3120"/>
            <w:shd w:fill="0F2C59"/>
            <w:tcMar>
              <w:top w:w="50" w:type="dxa"/>
              <w:bottom w:w="50" w:type="dxa"/>
              <w:left w:w="60" w:type="dxa"/>
              <w:right w:w="60" w:type="dxa"/>
            </w:tcMar>
          </w:tcPr>
          <w:p>
            <w:r>
              <w:rPr>
                <w:rFonts w:ascii="Times New Roman" w:hAnsi="Times New Roman"/>
                <w:b/>
                <w:color w:val="FFFFFF"/>
                <w:sz w:val="17"/>
              </w:rPr>
              <w:t>Acceptance criterion</w:t>
            </w:r>
          </w:p>
        </w:tc>
      </w:tr>
      <w:tr>
        <w:tc>
          <w:tcPr>
            <w:tcW w:type="dxa" w:w="3120"/>
            <w:shd w:fill="F8FAFC"/>
            <w:tcMar>
              <w:top w:w="35" w:type="dxa"/>
              <w:bottom w:w="35" w:type="dxa"/>
              <w:left w:w="60" w:type="dxa"/>
              <w:right w:w="60" w:type="dxa"/>
            </w:tcMar>
          </w:tcPr>
          <w:p>
            <w:r>
              <w:rPr>
                <w:rFonts w:ascii="Times New Roman" w:hAnsi="Times New Roman"/>
                <w:color w:val="1E293B"/>
                <w:sz w:val="16"/>
              </w:rPr>
              <w:t>FR-01 Identity and roles</w:t>
            </w:r>
          </w:p>
        </w:tc>
        <w:tc>
          <w:tcPr>
            <w:tcW w:type="dxa" w:w="3120"/>
            <w:shd w:fill="F8FAFC"/>
            <w:tcMar>
              <w:top w:w="35" w:type="dxa"/>
              <w:bottom w:w="35" w:type="dxa"/>
              <w:left w:w="60" w:type="dxa"/>
              <w:right w:w="60" w:type="dxa"/>
            </w:tcMar>
          </w:tcPr>
          <w:p>
            <w:r>
              <w:rPr>
                <w:rFonts w:ascii="Times New Roman" w:hAnsi="Times New Roman"/>
                <w:color w:val="1E293B"/>
                <w:sz w:val="16"/>
              </w:rPr>
              <w:t>Users can sign in and access only the screens and records permitted by their role.</w:t>
            </w:r>
          </w:p>
        </w:tc>
        <w:tc>
          <w:tcPr>
            <w:tcW w:type="dxa" w:w="3120"/>
            <w:shd w:fill="F8FAFC"/>
            <w:tcMar>
              <w:top w:w="35" w:type="dxa"/>
              <w:bottom w:w="35" w:type="dxa"/>
              <w:left w:w="60" w:type="dxa"/>
              <w:right w:w="60" w:type="dxa"/>
            </w:tcMar>
          </w:tcPr>
          <w:p>
            <w:r>
              <w:rPr>
                <w:rFonts w:ascii="Times New Roman" w:hAnsi="Times New Roman"/>
                <w:color w:val="1E293B"/>
                <w:sz w:val="16"/>
              </w:rPr>
              <w:t>Unauthorized cross-user access tests fail closed.</w:t>
            </w:r>
          </w:p>
        </w:tc>
      </w:tr>
      <w:tr>
        <w:tc>
          <w:tcPr>
            <w:tcW w:type="dxa" w:w="3120"/>
            <w:shd w:fill="FFFFFF"/>
            <w:tcMar>
              <w:top w:w="35" w:type="dxa"/>
              <w:bottom w:w="35" w:type="dxa"/>
              <w:left w:w="60" w:type="dxa"/>
              <w:right w:w="60" w:type="dxa"/>
            </w:tcMar>
          </w:tcPr>
          <w:p>
            <w:r>
              <w:rPr>
                <w:rFonts w:ascii="Times New Roman" w:hAnsi="Times New Roman"/>
                <w:color w:val="1E293B"/>
                <w:sz w:val="16"/>
              </w:rPr>
              <w:t>FR-02 Caregiver pairing and consent</w:t>
            </w:r>
          </w:p>
        </w:tc>
        <w:tc>
          <w:tcPr>
            <w:tcW w:type="dxa" w:w="3120"/>
            <w:shd w:fill="FFFFFF"/>
            <w:tcMar>
              <w:top w:w="35" w:type="dxa"/>
              <w:bottom w:w="35" w:type="dxa"/>
              <w:left w:w="60" w:type="dxa"/>
              <w:right w:w="60" w:type="dxa"/>
            </w:tcMar>
          </w:tcPr>
          <w:p>
            <w:r>
              <w:rPr>
                <w:rFonts w:ascii="Times New Roman" w:hAnsi="Times New Roman"/>
                <w:color w:val="1E293B"/>
                <w:sz w:val="16"/>
              </w:rPr>
              <w:t>A user can create or accept a time-limited invitation, choose a permission tier, and revoke access.</w:t>
            </w:r>
          </w:p>
        </w:tc>
        <w:tc>
          <w:tcPr>
            <w:tcW w:type="dxa" w:w="3120"/>
            <w:shd w:fill="FFFFFF"/>
            <w:tcMar>
              <w:top w:w="35" w:type="dxa"/>
              <w:bottom w:w="35" w:type="dxa"/>
              <w:left w:w="60" w:type="dxa"/>
              <w:right w:w="60" w:type="dxa"/>
            </w:tcMar>
          </w:tcPr>
          <w:p>
            <w:r>
              <w:rPr>
                <w:rFonts w:ascii="Times New Roman" w:hAnsi="Times New Roman"/>
                <w:color w:val="1E293B"/>
                <w:sz w:val="16"/>
              </w:rPr>
              <w:t>Expired/revoked invitations cannot create or retain access.</w:t>
            </w:r>
          </w:p>
        </w:tc>
      </w:tr>
      <w:tr>
        <w:tc>
          <w:tcPr>
            <w:tcW w:type="dxa" w:w="3120"/>
            <w:shd w:fill="F8FAFC"/>
            <w:tcMar>
              <w:top w:w="35" w:type="dxa"/>
              <w:bottom w:w="35" w:type="dxa"/>
              <w:left w:w="60" w:type="dxa"/>
              <w:right w:w="60" w:type="dxa"/>
            </w:tcMar>
          </w:tcPr>
          <w:p>
            <w:r>
              <w:rPr>
                <w:rFonts w:ascii="Times New Roman" w:hAnsi="Times New Roman"/>
                <w:color w:val="1E293B"/>
                <w:sz w:val="16"/>
              </w:rPr>
              <w:t>FR-03 Routine configuration</w:t>
            </w:r>
          </w:p>
        </w:tc>
        <w:tc>
          <w:tcPr>
            <w:tcW w:type="dxa" w:w="3120"/>
            <w:shd w:fill="F8FAFC"/>
            <w:tcMar>
              <w:top w:w="35" w:type="dxa"/>
              <w:bottom w:w="35" w:type="dxa"/>
              <w:left w:w="60" w:type="dxa"/>
              <w:right w:w="60" w:type="dxa"/>
            </w:tcMar>
          </w:tcPr>
          <w:p>
            <w:r>
              <w:rPr>
                <w:rFonts w:ascii="Times New Roman" w:hAnsi="Times New Roman"/>
                <w:color w:val="1E293B"/>
                <w:sz w:val="16"/>
              </w:rPr>
              <w:t>Authorized users can define reminder name, schedule, time zone, instructions, and urgency.</w:t>
            </w:r>
          </w:p>
        </w:tc>
        <w:tc>
          <w:tcPr>
            <w:tcW w:type="dxa" w:w="3120"/>
            <w:shd w:fill="F8FAFC"/>
            <w:tcMar>
              <w:top w:w="35" w:type="dxa"/>
              <w:bottom w:w="35" w:type="dxa"/>
              <w:left w:w="60" w:type="dxa"/>
              <w:right w:w="60" w:type="dxa"/>
            </w:tcMar>
          </w:tcPr>
          <w:p>
            <w:r>
              <w:rPr>
                <w:rFonts w:ascii="Times New Roman" w:hAnsi="Times New Roman"/>
                <w:color w:val="1E293B"/>
                <w:sz w:val="16"/>
              </w:rPr>
              <w:t>A saved routine persists and is rendered consistently in the senior view.</w:t>
            </w:r>
          </w:p>
        </w:tc>
      </w:tr>
      <w:tr>
        <w:tc>
          <w:tcPr>
            <w:tcW w:type="dxa" w:w="3120"/>
            <w:shd w:fill="FFFFFF"/>
            <w:tcMar>
              <w:top w:w="35" w:type="dxa"/>
              <w:bottom w:w="35" w:type="dxa"/>
              <w:left w:w="60" w:type="dxa"/>
              <w:right w:w="60" w:type="dxa"/>
            </w:tcMar>
          </w:tcPr>
          <w:p>
            <w:r>
              <w:rPr>
                <w:rFonts w:ascii="Times New Roman" w:hAnsi="Times New Roman"/>
                <w:color w:val="1E293B"/>
                <w:sz w:val="16"/>
              </w:rPr>
              <w:t>FR-04 Reminder lifecycle</w:t>
            </w:r>
          </w:p>
        </w:tc>
        <w:tc>
          <w:tcPr>
            <w:tcW w:type="dxa" w:w="3120"/>
            <w:shd w:fill="FFFFFF"/>
            <w:tcMar>
              <w:top w:w="35" w:type="dxa"/>
              <w:bottom w:w="35" w:type="dxa"/>
              <w:left w:w="60" w:type="dxa"/>
              <w:right w:w="60" w:type="dxa"/>
            </w:tcMar>
          </w:tcPr>
          <w:p>
            <w:r>
              <w:rPr>
                <w:rFonts w:ascii="Times New Roman" w:hAnsi="Times New Roman"/>
                <w:color w:val="1E293B"/>
                <w:sz w:val="16"/>
              </w:rPr>
              <w:t>The system manages SCHEDULED, TRIGGERED, SNOOZED, ACKNOWLEDGED, and MISSED states.</w:t>
            </w:r>
          </w:p>
        </w:tc>
        <w:tc>
          <w:tcPr>
            <w:tcW w:type="dxa" w:w="3120"/>
            <w:shd w:fill="FFFFFF"/>
            <w:tcMar>
              <w:top w:w="35" w:type="dxa"/>
              <w:bottom w:w="35" w:type="dxa"/>
              <w:left w:w="60" w:type="dxa"/>
              <w:right w:w="60" w:type="dxa"/>
            </w:tcMar>
          </w:tcPr>
          <w:p>
            <w:r>
              <w:rPr>
                <w:rFonts w:ascii="Times New Roman" w:hAnsi="Times New Roman"/>
                <w:color w:val="1E293B"/>
                <w:sz w:val="16"/>
              </w:rPr>
              <w:t>Every defined transition has a unit test and an audit event.</w:t>
            </w:r>
          </w:p>
        </w:tc>
      </w:tr>
      <w:tr>
        <w:tc>
          <w:tcPr>
            <w:tcW w:type="dxa" w:w="3120"/>
            <w:shd w:fill="F8FAFC"/>
            <w:tcMar>
              <w:top w:w="35" w:type="dxa"/>
              <w:bottom w:w="35" w:type="dxa"/>
              <w:left w:w="60" w:type="dxa"/>
              <w:right w:w="60" w:type="dxa"/>
            </w:tcMar>
          </w:tcPr>
          <w:p>
            <w:r>
              <w:rPr>
                <w:rFonts w:ascii="Times New Roman" w:hAnsi="Times New Roman"/>
                <w:color w:val="1E293B"/>
                <w:sz w:val="16"/>
              </w:rPr>
              <w:t>FR-05 Self-reported acknowledgement</w:t>
            </w:r>
          </w:p>
        </w:tc>
        <w:tc>
          <w:tcPr>
            <w:tcW w:type="dxa" w:w="3120"/>
            <w:shd w:fill="F8FAFC"/>
            <w:tcMar>
              <w:top w:w="35" w:type="dxa"/>
              <w:bottom w:w="35" w:type="dxa"/>
              <w:left w:w="60" w:type="dxa"/>
              <w:right w:w="60" w:type="dxa"/>
            </w:tcMar>
          </w:tcPr>
          <w:p>
            <w:r>
              <w:rPr>
                <w:rFonts w:ascii="Times New Roman" w:hAnsi="Times New Roman"/>
                <w:color w:val="1E293B"/>
                <w:sz w:val="16"/>
              </w:rPr>
              <w:t>The user can record that a reminder was acknowledged or snoozed.</w:t>
            </w:r>
          </w:p>
        </w:tc>
        <w:tc>
          <w:tcPr>
            <w:tcW w:type="dxa" w:w="3120"/>
            <w:shd w:fill="F8FAFC"/>
            <w:tcMar>
              <w:top w:w="35" w:type="dxa"/>
              <w:bottom w:w="35" w:type="dxa"/>
              <w:left w:w="60" w:type="dxa"/>
              <w:right w:w="60" w:type="dxa"/>
            </w:tcMar>
          </w:tcPr>
          <w:p>
            <w:r>
              <w:rPr>
                <w:rFonts w:ascii="Times New Roman" w:hAnsi="Times New Roman"/>
                <w:color w:val="1E293B"/>
                <w:sz w:val="16"/>
              </w:rPr>
              <w:t>Interface labels this as user-reported status, not proof of ingestion.</w:t>
            </w:r>
          </w:p>
        </w:tc>
      </w:tr>
      <w:tr>
        <w:tc>
          <w:tcPr>
            <w:tcW w:type="dxa" w:w="3120"/>
            <w:shd w:fill="FFFFFF"/>
            <w:tcMar>
              <w:top w:w="35" w:type="dxa"/>
              <w:bottom w:w="35" w:type="dxa"/>
              <w:left w:w="60" w:type="dxa"/>
              <w:right w:w="60" w:type="dxa"/>
            </w:tcMar>
          </w:tcPr>
          <w:p>
            <w:r>
              <w:rPr>
                <w:rFonts w:ascii="Times New Roman" w:hAnsi="Times New Roman"/>
                <w:color w:val="1E293B"/>
                <w:sz w:val="16"/>
              </w:rPr>
              <w:t>FR-06 Cognitive activities</w:t>
            </w:r>
          </w:p>
        </w:tc>
        <w:tc>
          <w:tcPr>
            <w:tcW w:type="dxa" w:w="3120"/>
            <w:shd w:fill="FFFFFF"/>
            <w:tcMar>
              <w:top w:w="35" w:type="dxa"/>
              <w:bottom w:w="35" w:type="dxa"/>
              <w:left w:w="60" w:type="dxa"/>
              <w:right w:w="60" w:type="dxa"/>
            </w:tcMar>
          </w:tcPr>
          <w:p>
            <w:r>
              <w:rPr>
                <w:rFonts w:ascii="Times New Roman" w:hAnsi="Times New Roman"/>
                <w:color w:val="1E293B"/>
                <w:sz w:val="16"/>
              </w:rPr>
              <w:t>The prototype includes memory, sequence, and attention activities with adjustable difficulty.</w:t>
            </w:r>
          </w:p>
        </w:tc>
        <w:tc>
          <w:tcPr>
            <w:tcW w:type="dxa" w:w="3120"/>
            <w:shd w:fill="FFFFFF"/>
            <w:tcMar>
              <w:top w:w="35" w:type="dxa"/>
              <w:bottom w:w="35" w:type="dxa"/>
              <w:left w:w="60" w:type="dxa"/>
              <w:right w:w="60" w:type="dxa"/>
            </w:tcMar>
          </w:tcPr>
          <w:p>
            <w:r>
              <w:rPr>
                <w:rFonts w:ascii="Times New Roman" w:hAnsi="Times New Roman"/>
                <w:color w:val="1E293B"/>
                <w:sz w:val="16"/>
              </w:rPr>
              <w:t>Activities are keyboard-operable, have clear instructions, and can be exited.</w:t>
            </w:r>
          </w:p>
        </w:tc>
      </w:tr>
      <w:tr>
        <w:tc>
          <w:tcPr>
            <w:tcW w:type="dxa" w:w="3120"/>
            <w:shd w:fill="F8FAFC"/>
            <w:tcMar>
              <w:top w:w="35" w:type="dxa"/>
              <w:bottom w:w="35" w:type="dxa"/>
              <w:left w:w="60" w:type="dxa"/>
              <w:right w:w="60" w:type="dxa"/>
            </w:tcMar>
          </w:tcPr>
          <w:p>
            <w:r>
              <w:rPr>
                <w:rFonts w:ascii="Times New Roman" w:hAnsi="Times New Roman"/>
                <w:color w:val="1E293B"/>
                <w:sz w:val="16"/>
              </w:rPr>
              <w:t>FR-07 Deterministic scoring</w:t>
            </w:r>
          </w:p>
        </w:tc>
        <w:tc>
          <w:tcPr>
            <w:tcW w:type="dxa" w:w="3120"/>
            <w:shd w:fill="F8FAFC"/>
            <w:tcMar>
              <w:top w:w="35" w:type="dxa"/>
              <w:bottom w:w="35" w:type="dxa"/>
              <w:left w:w="60" w:type="dxa"/>
              <w:right w:w="60" w:type="dxa"/>
            </w:tcMar>
          </w:tcPr>
          <w:p>
            <w:r>
              <w:rPr>
                <w:rFonts w:ascii="Times New Roman" w:hAnsi="Times New Roman"/>
                <w:color w:val="1E293B"/>
                <w:sz w:val="16"/>
              </w:rPr>
              <w:t>Scoring is computed in application code from accuracy and normalized response time.</w:t>
            </w:r>
          </w:p>
        </w:tc>
        <w:tc>
          <w:tcPr>
            <w:tcW w:type="dxa" w:w="3120"/>
            <w:shd w:fill="F8FAFC"/>
            <w:tcMar>
              <w:top w:w="35" w:type="dxa"/>
              <w:bottom w:w="35" w:type="dxa"/>
              <w:left w:w="60" w:type="dxa"/>
              <w:right w:w="60" w:type="dxa"/>
            </w:tcMar>
          </w:tcPr>
          <w:p>
            <w:r>
              <w:rPr>
                <w:rFonts w:ascii="Times New Roman" w:hAnsi="Times New Roman"/>
                <w:color w:val="1E293B"/>
                <w:sz w:val="16"/>
              </w:rPr>
              <w:t>Identical valid inputs always return the same score.</w:t>
            </w:r>
          </w:p>
        </w:tc>
      </w:tr>
      <w:tr>
        <w:tc>
          <w:tcPr>
            <w:tcW w:type="dxa" w:w="3120"/>
            <w:shd w:fill="FFFFFF"/>
            <w:tcMar>
              <w:top w:w="35" w:type="dxa"/>
              <w:bottom w:w="35" w:type="dxa"/>
              <w:left w:w="60" w:type="dxa"/>
              <w:right w:w="60" w:type="dxa"/>
            </w:tcMar>
          </w:tcPr>
          <w:p>
            <w:r>
              <w:rPr>
                <w:rFonts w:ascii="Times New Roman" w:hAnsi="Times New Roman"/>
                <w:color w:val="1E293B"/>
                <w:sz w:val="16"/>
              </w:rPr>
              <w:t>FR-08 Caregiver dashboard</w:t>
            </w:r>
          </w:p>
        </w:tc>
        <w:tc>
          <w:tcPr>
            <w:tcW w:type="dxa" w:w="3120"/>
            <w:shd w:fill="FFFFFF"/>
            <w:tcMar>
              <w:top w:w="35" w:type="dxa"/>
              <w:bottom w:w="35" w:type="dxa"/>
              <w:left w:w="60" w:type="dxa"/>
              <w:right w:w="60" w:type="dxa"/>
            </w:tcMar>
          </w:tcPr>
          <w:p>
            <w:r>
              <w:rPr>
                <w:rFonts w:ascii="Times New Roman" w:hAnsi="Times New Roman"/>
                <w:color w:val="1E293B"/>
                <w:sz w:val="16"/>
              </w:rPr>
              <w:t>Permitted caregivers can view routine history, missed events, and descriptive activity trends.</w:t>
            </w:r>
          </w:p>
        </w:tc>
        <w:tc>
          <w:tcPr>
            <w:tcW w:type="dxa" w:w="3120"/>
            <w:shd w:fill="FFFFFF"/>
            <w:tcMar>
              <w:top w:w="35" w:type="dxa"/>
              <w:bottom w:w="35" w:type="dxa"/>
              <w:left w:w="60" w:type="dxa"/>
              <w:right w:w="60" w:type="dxa"/>
            </w:tcMar>
          </w:tcPr>
          <w:p>
            <w:r>
              <w:rPr>
                <w:rFonts w:ascii="Times New Roman" w:hAnsi="Times New Roman"/>
                <w:color w:val="1E293B"/>
                <w:sz w:val="16"/>
              </w:rPr>
              <w:t>Dashboard displays time range, event status, and limitations of the data.</w:t>
            </w:r>
          </w:p>
        </w:tc>
      </w:tr>
      <w:tr>
        <w:tc>
          <w:tcPr>
            <w:tcW w:type="dxa" w:w="3120"/>
            <w:shd w:fill="F8FAFC"/>
            <w:tcMar>
              <w:top w:w="35" w:type="dxa"/>
              <w:bottom w:w="35" w:type="dxa"/>
              <w:left w:w="60" w:type="dxa"/>
              <w:right w:w="60" w:type="dxa"/>
            </w:tcMar>
          </w:tcPr>
          <w:p>
            <w:r>
              <w:rPr>
                <w:rFonts w:ascii="Times New Roman" w:hAnsi="Times New Roman"/>
                <w:color w:val="1E293B"/>
                <w:sz w:val="16"/>
              </w:rPr>
              <w:t>FR-09 Conversational assistant</w:t>
            </w:r>
          </w:p>
        </w:tc>
        <w:tc>
          <w:tcPr>
            <w:tcW w:type="dxa" w:w="3120"/>
            <w:shd w:fill="F8FAFC"/>
            <w:tcMar>
              <w:top w:w="35" w:type="dxa"/>
              <w:bottom w:w="35" w:type="dxa"/>
              <w:left w:w="60" w:type="dxa"/>
              <w:right w:w="60" w:type="dxa"/>
            </w:tcMar>
          </w:tcPr>
          <w:p>
            <w:r>
              <w:rPr>
                <w:rFonts w:ascii="Times New Roman" w:hAnsi="Times New Roman"/>
                <w:color w:val="1E293B"/>
                <w:sz w:val="16"/>
              </w:rPr>
              <w:t>Users can request supportive conversation or simple app guidance through a provider adapter.</w:t>
            </w:r>
          </w:p>
        </w:tc>
        <w:tc>
          <w:tcPr>
            <w:tcW w:type="dxa" w:w="3120"/>
            <w:shd w:fill="F8FAFC"/>
            <w:tcMar>
              <w:top w:w="35" w:type="dxa"/>
              <w:bottom w:w="35" w:type="dxa"/>
              <w:left w:w="60" w:type="dxa"/>
              <w:right w:w="60" w:type="dxa"/>
            </w:tcMar>
          </w:tcPr>
          <w:p>
            <w:r>
              <w:rPr>
                <w:rFonts w:ascii="Times New Roman" w:hAnsi="Times New Roman"/>
                <w:color w:val="1E293B"/>
                <w:sz w:val="16"/>
              </w:rPr>
              <w:t>Safety tests reject diagnostic, prescription, and treatment-change requests.</w:t>
            </w:r>
          </w:p>
        </w:tc>
      </w:tr>
      <w:tr>
        <w:tc>
          <w:tcPr>
            <w:tcW w:type="dxa" w:w="3120"/>
            <w:shd w:fill="FFFFFF"/>
            <w:tcMar>
              <w:top w:w="35" w:type="dxa"/>
              <w:bottom w:w="35" w:type="dxa"/>
              <w:left w:w="60" w:type="dxa"/>
              <w:right w:w="60" w:type="dxa"/>
            </w:tcMar>
          </w:tcPr>
          <w:p>
            <w:r>
              <w:rPr>
                <w:rFonts w:ascii="Times New Roman" w:hAnsi="Times New Roman"/>
                <w:color w:val="1E293B"/>
                <w:sz w:val="16"/>
              </w:rPr>
              <w:t>FR-10 SOS interaction</w:t>
            </w:r>
          </w:p>
        </w:tc>
        <w:tc>
          <w:tcPr>
            <w:tcW w:type="dxa" w:w="3120"/>
            <w:shd w:fill="FFFFFF"/>
            <w:tcMar>
              <w:top w:w="35" w:type="dxa"/>
              <w:bottom w:w="35" w:type="dxa"/>
              <w:left w:w="60" w:type="dxa"/>
              <w:right w:w="60" w:type="dxa"/>
            </w:tcMar>
          </w:tcPr>
          <w:p>
            <w:r>
              <w:rPr>
                <w:rFonts w:ascii="Times New Roman" w:hAnsi="Times New Roman"/>
                <w:color w:val="1E293B"/>
                <w:sz w:val="16"/>
              </w:rPr>
              <w:t>The user can trigger an emergency-contact alert workflow for linked caregivers.</w:t>
            </w:r>
          </w:p>
        </w:tc>
        <w:tc>
          <w:tcPr>
            <w:tcW w:type="dxa" w:w="3120"/>
            <w:shd w:fill="FFFFFF"/>
            <w:tcMar>
              <w:top w:w="35" w:type="dxa"/>
              <w:bottom w:w="35" w:type="dxa"/>
              <w:left w:w="60" w:type="dxa"/>
              <w:right w:w="60" w:type="dxa"/>
            </w:tcMar>
          </w:tcPr>
          <w:p>
            <w:r>
              <w:rPr>
                <w:rFonts w:ascii="Times New Roman" w:hAnsi="Times New Roman"/>
                <w:color w:val="1E293B"/>
                <w:sz w:val="16"/>
              </w:rPr>
              <w:t>The system records attempt/delivery status where available and states if offline.</w:t>
            </w:r>
          </w:p>
        </w:tc>
      </w:tr>
      <w:tr>
        <w:tc>
          <w:tcPr>
            <w:tcW w:type="dxa" w:w="3120"/>
            <w:shd w:fill="F8FAFC"/>
            <w:tcMar>
              <w:top w:w="35" w:type="dxa"/>
              <w:bottom w:w="35" w:type="dxa"/>
              <w:left w:w="60" w:type="dxa"/>
              <w:right w:w="60" w:type="dxa"/>
            </w:tcMar>
          </w:tcPr>
          <w:p>
            <w:r>
              <w:rPr>
                <w:rFonts w:ascii="Times New Roman" w:hAnsi="Times New Roman"/>
                <w:color w:val="1E293B"/>
                <w:sz w:val="16"/>
              </w:rPr>
              <w:t>FR-11 PWA/offline behavior</w:t>
            </w:r>
          </w:p>
        </w:tc>
        <w:tc>
          <w:tcPr>
            <w:tcW w:type="dxa" w:w="3120"/>
            <w:shd w:fill="F8FAFC"/>
            <w:tcMar>
              <w:top w:w="35" w:type="dxa"/>
              <w:bottom w:w="35" w:type="dxa"/>
              <w:left w:w="60" w:type="dxa"/>
              <w:right w:w="60" w:type="dxa"/>
            </w:tcMar>
          </w:tcPr>
          <w:p>
            <w:r>
              <w:rPr>
                <w:rFonts w:ascii="Times New Roman" w:hAnsi="Times New Roman"/>
                <w:color w:val="1E293B"/>
                <w:sz w:val="16"/>
              </w:rPr>
              <w:t>Cached core routine information and selected activities can open without connectivity.</w:t>
            </w:r>
          </w:p>
        </w:tc>
        <w:tc>
          <w:tcPr>
            <w:tcW w:type="dxa" w:w="3120"/>
            <w:shd w:fill="F8FAFC"/>
            <w:tcMar>
              <w:top w:w="35" w:type="dxa"/>
              <w:bottom w:w="35" w:type="dxa"/>
              <w:left w:w="60" w:type="dxa"/>
              <w:right w:w="60" w:type="dxa"/>
            </w:tcMar>
          </w:tcPr>
          <w:p>
            <w:r>
              <w:rPr>
                <w:rFonts w:ascii="Times New Roman" w:hAnsi="Times New Roman"/>
                <w:color w:val="1E293B"/>
                <w:sz w:val="16"/>
              </w:rPr>
              <w:t>Offline status is visible; queued events synchronize idempotently when reconnected.</w:t>
            </w:r>
          </w:p>
        </w:tc>
      </w:tr>
      <w:tr>
        <w:tc>
          <w:tcPr>
            <w:tcW w:type="dxa" w:w="3120"/>
            <w:shd w:fill="FFFFFF"/>
            <w:tcMar>
              <w:top w:w="35" w:type="dxa"/>
              <w:bottom w:w="35" w:type="dxa"/>
              <w:left w:w="60" w:type="dxa"/>
              <w:right w:w="60" w:type="dxa"/>
            </w:tcMar>
          </w:tcPr>
          <w:p>
            <w:r>
              <w:rPr>
                <w:rFonts w:ascii="Times New Roman" w:hAnsi="Times New Roman"/>
                <w:color w:val="1E293B"/>
                <w:sz w:val="16"/>
              </w:rPr>
              <w:t>FR-12 Audit and user controls</w:t>
            </w:r>
          </w:p>
        </w:tc>
        <w:tc>
          <w:tcPr>
            <w:tcW w:type="dxa" w:w="3120"/>
            <w:shd w:fill="FFFFFF"/>
            <w:tcMar>
              <w:top w:w="35" w:type="dxa"/>
              <w:bottom w:w="35" w:type="dxa"/>
              <w:left w:w="60" w:type="dxa"/>
              <w:right w:w="60" w:type="dxa"/>
            </w:tcMar>
          </w:tcPr>
          <w:p>
            <w:r>
              <w:rPr>
                <w:rFonts w:ascii="Times New Roman" w:hAnsi="Times New Roman"/>
                <w:color w:val="1E293B"/>
                <w:sz w:val="16"/>
              </w:rPr>
              <w:t>Security-sensitive events, permission changes, and reminder transitions are recorded; data export/deletion rules are defined.</w:t>
            </w:r>
          </w:p>
        </w:tc>
        <w:tc>
          <w:tcPr>
            <w:tcW w:type="dxa" w:w="3120"/>
            <w:shd w:fill="FFFFFF"/>
            <w:tcMar>
              <w:top w:w="35" w:type="dxa"/>
              <w:bottom w:w="35" w:type="dxa"/>
              <w:left w:w="60" w:type="dxa"/>
              <w:right w:w="60" w:type="dxa"/>
            </w:tcMar>
          </w:tcPr>
          <w:p>
            <w:r>
              <w:rPr>
                <w:rFonts w:ascii="Times New Roman" w:hAnsi="Times New Roman"/>
                <w:color w:val="1E293B"/>
                <w:sz w:val="16"/>
              </w:rPr>
              <w:t>Logs avoid unnecessary sensitive content and access is role-restricted.</w:t>
            </w:r>
          </w:p>
        </w:tc>
      </w:tr>
    </w:tbl>
    <w:p>
      <w:pPr>
        <w:spacing w:before="0" w:after="80" w:line="283" w:lineRule="auto"/>
        <w:jc w:val="left"/>
      </w:pPr>
    </w:p>
    <w:p>
      <w:pPr>
        <w:spacing w:before="120" w:after="40" w:line="276" w:lineRule="auto"/>
        <w:jc w:val="left"/>
      </w:pPr>
      <w:r>
        <w:rPr>
          <w:rFonts w:ascii="Times New Roman" w:hAnsi="Times New Roman"/>
          <w:b/>
          <w:color w:val="0D6E85"/>
          <w:sz w:val="22"/>
        </w:rPr>
        <w:t>4.3 Non-Functional Requirements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4680"/>
            <w:shd w:fill="0F2C59"/>
            <w:tcMar>
              <w:top w:w="45" w:type="dxa"/>
              <w:bottom w:w="45" w:type="dxa"/>
              <w:left w:w="60" w:type="dxa"/>
              <w:right w:w="60" w:type="dxa"/>
            </w:tcMar>
          </w:tcPr>
          <w:p>
            <w:r>
              <w:rPr>
                <w:rFonts w:ascii="Times New Roman" w:hAnsi="Times New Roman"/>
                <w:b/>
                <w:color w:val="FFFFFF"/>
                <w:sz w:val="17"/>
              </w:rPr>
              <w:t>ID</w:t>
            </w:r>
          </w:p>
        </w:tc>
        <w:tc>
          <w:tcPr>
            <w:tcW w:type="dxa" w:w="4680"/>
            <w:shd w:fill="0F2C59"/>
            <w:tcMar>
              <w:top w:w="45" w:type="dxa"/>
              <w:bottom w:w="45" w:type="dxa"/>
              <w:left w:w="60" w:type="dxa"/>
              <w:right w:w="60" w:type="dxa"/>
            </w:tcMar>
          </w:tcPr>
          <w:p>
            <w:r>
              <w:rPr>
                <w:rFonts w:ascii="Times New Roman" w:hAnsi="Times New Roman"/>
                <w:b/>
                <w:color w:val="FFFFFF"/>
                <w:sz w:val="17"/>
              </w:rPr>
              <w:t>Requirement / target</w:t>
            </w:r>
          </w:p>
        </w:tc>
      </w:tr>
      <w:tr>
        <w:tc>
          <w:tcPr>
            <w:tcW w:type="dxa" w:w="4680"/>
            <w:shd w:fill="F8FAFC"/>
            <w:tcMar>
              <w:top w:w="40" w:type="dxa"/>
              <w:bottom w:w="40" w:type="dxa"/>
              <w:left w:w="60" w:type="dxa"/>
              <w:right w:w="60" w:type="dxa"/>
            </w:tcMar>
          </w:tcPr>
          <w:p>
            <w:r>
              <w:rPr>
                <w:rFonts w:ascii="Times New Roman" w:hAnsi="Times New Roman"/>
                <w:color w:val="1E293B"/>
                <w:sz w:val="16"/>
              </w:rPr>
              <w:t>NFR-01 Accessibility</w:t>
            </w:r>
          </w:p>
        </w:tc>
        <w:tc>
          <w:tcPr>
            <w:tcW w:type="dxa" w:w="4680"/>
            <w:shd w:fill="F8FAFC"/>
            <w:tcMar>
              <w:top w:w="40" w:type="dxa"/>
              <w:bottom w:w="40" w:type="dxa"/>
              <w:left w:w="60" w:type="dxa"/>
              <w:right w:w="60" w:type="dxa"/>
            </w:tcMar>
          </w:tcPr>
          <w:p>
            <w:r>
              <w:rPr>
                <w:rFonts w:ascii="Times New Roman" w:hAnsi="Times New Roman"/>
                <w:color w:val="1E293B"/>
                <w:sz w:val="16"/>
              </w:rPr>
              <w:t>Target WCAG 2.2 AA; use 76-by-76 CSS-pixel primary targets as the product design target; support visible focus, screen readers, and 200% text resize.</w:t>
            </w:r>
          </w:p>
        </w:tc>
      </w:tr>
    </w:tbl>
    <w:p>
      <w:r>
        <w:br w:type="page"/>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4680"/>
            <w:shd w:fill="0F2C59"/>
            <w:tcMar>
              <w:top w:w="45" w:type="dxa"/>
              <w:bottom w:w="45" w:type="dxa"/>
              <w:left w:w="60" w:type="dxa"/>
              <w:right w:w="60" w:type="dxa"/>
            </w:tcMar>
          </w:tcPr>
          <w:p>
            <w:r>
              <w:rPr>
                <w:rFonts w:ascii="Times New Roman" w:hAnsi="Times New Roman"/>
                <w:b/>
                <w:color w:val="FFFFFF"/>
                <w:sz w:val="17"/>
              </w:rPr>
              <w:t>ID</w:t>
            </w:r>
          </w:p>
        </w:tc>
        <w:tc>
          <w:tcPr>
            <w:tcW w:type="dxa" w:w="4680"/>
            <w:shd w:fill="0F2C59"/>
            <w:tcMar>
              <w:top w:w="45" w:type="dxa"/>
              <w:bottom w:w="45" w:type="dxa"/>
              <w:left w:w="60" w:type="dxa"/>
              <w:right w:w="60" w:type="dxa"/>
            </w:tcMar>
          </w:tcPr>
          <w:p>
            <w:r>
              <w:rPr>
                <w:rFonts w:ascii="Times New Roman" w:hAnsi="Times New Roman"/>
                <w:b/>
                <w:color w:val="FFFFFF"/>
                <w:sz w:val="17"/>
              </w:rPr>
              <w:t>Requirement / target</w:t>
            </w:r>
          </w:p>
        </w:tc>
      </w:tr>
      <w:tr>
        <w:tc>
          <w:tcPr>
            <w:tcW w:type="dxa" w:w="4680"/>
            <w:shd w:fill="F8FAFC"/>
            <w:tcMar>
              <w:top w:w="35" w:type="dxa"/>
              <w:bottom w:w="35" w:type="dxa"/>
              <w:left w:w="60" w:type="dxa"/>
              <w:right w:w="60" w:type="dxa"/>
            </w:tcMar>
          </w:tcPr>
          <w:p>
            <w:r>
              <w:rPr>
                <w:rFonts w:ascii="Times New Roman" w:hAnsi="Times New Roman"/>
                <w:color w:val="1E293B"/>
                <w:sz w:val="16"/>
              </w:rPr>
              <w:t>NFR-02 Performance</w:t>
            </w:r>
          </w:p>
        </w:tc>
        <w:tc>
          <w:tcPr>
            <w:tcW w:type="dxa" w:w="4680"/>
            <w:shd w:fill="F8FAFC"/>
            <w:tcMar>
              <w:top w:w="35" w:type="dxa"/>
              <w:bottom w:w="35" w:type="dxa"/>
              <w:left w:w="60" w:type="dxa"/>
              <w:right w:w="60" w:type="dxa"/>
            </w:tcMar>
          </w:tcPr>
          <w:p>
            <w:r>
              <w:rPr>
                <w:rFonts w:ascii="Times New Roman" w:hAnsi="Times New Roman"/>
                <w:color w:val="1E293B"/>
                <w:sz w:val="16"/>
              </w:rPr>
              <w:t>Target p95 under 500 ms for non-AI API requests in a documented local/staging test profile. AI provider time is measured separately.</w:t>
            </w:r>
          </w:p>
        </w:tc>
      </w:tr>
      <w:tr>
        <w:tc>
          <w:tcPr>
            <w:tcW w:type="dxa" w:w="4680"/>
            <w:shd w:fill="FFFFFF"/>
            <w:tcMar>
              <w:top w:w="35" w:type="dxa"/>
              <w:bottom w:w="35" w:type="dxa"/>
              <w:left w:w="60" w:type="dxa"/>
              <w:right w:w="60" w:type="dxa"/>
            </w:tcMar>
          </w:tcPr>
          <w:p>
            <w:r>
              <w:rPr>
                <w:rFonts w:ascii="Times New Roman" w:hAnsi="Times New Roman"/>
                <w:color w:val="1E293B"/>
                <w:sz w:val="16"/>
              </w:rPr>
              <w:t>NFR-03 Local fallback</w:t>
            </w:r>
          </w:p>
        </w:tc>
        <w:tc>
          <w:tcPr>
            <w:tcW w:type="dxa" w:w="4680"/>
            <w:shd w:fill="FFFFFF"/>
            <w:tcMar>
              <w:top w:w="35" w:type="dxa"/>
              <w:bottom w:w="35" w:type="dxa"/>
              <w:left w:w="60" w:type="dxa"/>
              <w:right w:w="60" w:type="dxa"/>
            </w:tcMar>
          </w:tcPr>
          <w:p>
            <w:r>
              <w:rPr>
                <w:rFonts w:ascii="Times New Roman" w:hAnsi="Times New Roman"/>
                <w:color w:val="1E293B"/>
                <w:sz w:val="16"/>
              </w:rPr>
              <w:t>Target under 100 ms for a template/rule-based fallback response on the test environment; fallback scope must remain deliberately limited.</w:t>
            </w:r>
          </w:p>
        </w:tc>
      </w:tr>
      <w:tr>
        <w:tc>
          <w:tcPr>
            <w:tcW w:type="dxa" w:w="4680"/>
            <w:shd w:fill="F8FAFC"/>
            <w:tcMar>
              <w:top w:w="35" w:type="dxa"/>
              <w:bottom w:w="35" w:type="dxa"/>
              <w:left w:w="60" w:type="dxa"/>
              <w:right w:w="60" w:type="dxa"/>
            </w:tcMar>
          </w:tcPr>
          <w:p>
            <w:r>
              <w:rPr>
                <w:rFonts w:ascii="Times New Roman" w:hAnsi="Times New Roman"/>
                <w:color w:val="1E293B"/>
                <w:sz w:val="16"/>
              </w:rPr>
              <w:t>NFR-04 Reliability</w:t>
            </w:r>
          </w:p>
        </w:tc>
        <w:tc>
          <w:tcPr>
            <w:tcW w:type="dxa" w:w="4680"/>
            <w:shd w:fill="F8FAFC"/>
            <w:tcMar>
              <w:top w:w="35" w:type="dxa"/>
              <w:bottom w:w="35" w:type="dxa"/>
              <w:left w:w="60" w:type="dxa"/>
              <w:right w:w="60" w:type="dxa"/>
            </w:tcMar>
          </w:tcPr>
          <w:p>
            <w:r>
              <w:rPr>
                <w:rFonts w:ascii="Times New Roman" w:hAnsi="Times New Roman"/>
                <w:color w:val="1E293B"/>
                <w:sz w:val="16"/>
              </w:rPr>
              <w:t>Reminder transitions and event writes are idempotent; critical events use explicit deadlines, retries, and recorded delivery attempts.</w:t>
            </w:r>
          </w:p>
        </w:tc>
      </w:tr>
      <w:tr>
        <w:tc>
          <w:tcPr>
            <w:tcW w:type="dxa" w:w="4680"/>
            <w:shd w:fill="FFFFFF"/>
            <w:tcMar>
              <w:top w:w="35" w:type="dxa"/>
              <w:bottom w:w="35" w:type="dxa"/>
              <w:left w:w="60" w:type="dxa"/>
              <w:right w:w="60" w:type="dxa"/>
            </w:tcMar>
          </w:tcPr>
          <w:p>
            <w:r>
              <w:rPr>
                <w:rFonts w:ascii="Times New Roman" w:hAnsi="Times New Roman"/>
                <w:color w:val="1E293B"/>
                <w:sz w:val="16"/>
              </w:rPr>
              <w:t>NFR-05 Security and privacy</w:t>
            </w:r>
          </w:p>
        </w:tc>
        <w:tc>
          <w:tcPr>
            <w:tcW w:type="dxa" w:w="4680"/>
            <w:shd w:fill="FFFFFF"/>
            <w:tcMar>
              <w:top w:w="35" w:type="dxa"/>
              <w:bottom w:w="35" w:type="dxa"/>
              <w:left w:w="60" w:type="dxa"/>
              <w:right w:w="60" w:type="dxa"/>
            </w:tcMar>
          </w:tcPr>
          <w:p>
            <w:r>
              <w:rPr>
                <w:rFonts w:ascii="Times New Roman" w:hAnsi="Times New Roman"/>
                <w:color w:val="1E293B"/>
                <w:sz w:val="16"/>
              </w:rPr>
              <w:t>HTTPS in deployment, secure session cookies, input validation, least privilege, rate limiting, consent revocation, retention policy, and security tests.</w:t>
            </w:r>
          </w:p>
        </w:tc>
      </w:tr>
      <w:tr>
        <w:tc>
          <w:tcPr>
            <w:tcW w:type="dxa" w:w="4680"/>
            <w:shd w:fill="F8FAFC"/>
            <w:tcMar>
              <w:top w:w="35" w:type="dxa"/>
              <w:bottom w:w="35" w:type="dxa"/>
              <w:left w:w="60" w:type="dxa"/>
              <w:right w:w="60" w:type="dxa"/>
            </w:tcMar>
          </w:tcPr>
          <w:p>
            <w:r>
              <w:rPr>
                <w:rFonts w:ascii="Times New Roman" w:hAnsi="Times New Roman"/>
                <w:color w:val="1E293B"/>
                <w:sz w:val="16"/>
              </w:rPr>
              <w:t>NFR-06 Offline behavior</w:t>
            </w:r>
          </w:p>
        </w:tc>
        <w:tc>
          <w:tcPr>
            <w:tcW w:type="dxa" w:w="4680"/>
            <w:shd w:fill="F8FAFC"/>
            <w:tcMar>
              <w:top w:w="35" w:type="dxa"/>
              <w:bottom w:w="35" w:type="dxa"/>
              <w:left w:w="60" w:type="dxa"/>
              <w:right w:w="60" w:type="dxa"/>
            </w:tcMar>
          </w:tcPr>
          <w:p>
            <w:r>
              <w:rPr>
                <w:rFonts w:ascii="Times New Roman" w:hAnsi="Times New Roman"/>
                <w:color w:val="1E293B"/>
                <w:sz w:val="16"/>
              </w:rPr>
              <w:t>Core cached screens and selected activities remain usable offline; cloud AI, remote alerts, and live synchronization clearly require connectivity.</w:t>
            </w:r>
          </w:p>
        </w:tc>
      </w:tr>
      <w:tr>
        <w:tc>
          <w:tcPr>
            <w:tcW w:type="dxa" w:w="4680"/>
            <w:shd w:fill="FFFFFF"/>
            <w:tcMar>
              <w:top w:w="35" w:type="dxa"/>
              <w:bottom w:w="35" w:type="dxa"/>
              <w:left w:w="60" w:type="dxa"/>
              <w:right w:w="60" w:type="dxa"/>
            </w:tcMar>
          </w:tcPr>
          <w:p>
            <w:r>
              <w:rPr>
                <w:rFonts w:ascii="Times New Roman" w:hAnsi="Times New Roman"/>
                <w:color w:val="1E293B"/>
                <w:sz w:val="16"/>
              </w:rPr>
              <w:t>NFR-07 Maintainability</w:t>
            </w:r>
          </w:p>
        </w:tc>
        <w:tc>
          <w:tcPr>
            <w:tcW w:type="dxa" w:w="4680"/>
            <w:shd w:fill="FFFFFF"/>
            <w:tcMar>
              <w:top w:w="35" w:type="dxa"/>
              <w:bottom w:w="35" w:type="dxa"/>
              <w:left w:w="60" w:type="dxa"/>
              <w:right w:w="60" w:type="dxa"/>
            </w:tcMar>
          </w:tcPr>
          <w:p>
            <w:r>
              <w:rPr>
                <w:rFonts w:ascii="Times New Roman" w:hAnsi="Times New Roman"/>
                <w:color w:val="1E293B"/>
                <w:sz w:val="16"/>
              </w:rPr>
              <w:t>Versioned database migrations, documented API schemas, modular service boundaries, automated tests, and reproducible container setup.</w:t>
            </w:r>
          </w:p>
        </w:tc>
      </w:tr>
      <w:tr>
        <w:tc>
          <w:tcPr>
            <w:tcW w:type="dxa" w:w="4680"/>
            <w:shd w:fill="F8FAFC"/>
            <w:tcMar>
              <w:top w:w="35" w:type="dxa"/>
              <w:bottom w:w="35" w:type="dxa"/>
              <w:left w:w="60" w:type="dxa"/>
              <w:right w:w="60" w:type="dxa"/>
            </w:tcMar>
          </w:tcPr>
          <w:p>
            <w:r>
              <w:rPr>
                <w:rFonts w:ascii="Times New Roman" w:hAnsi="Times New Roman"/>
                <w:color w:val="1E293B"/>
                <w:sz w:val="16"/>
              </w:rPr>
              <w:t>NFR-08 Observability</w:t>
            </w:r>
          </w:p>
        </w:tc>
        <w:tc>
          <w:tcPr>
            <w:tcW w:type="dxa" w:w="4680"/>
            <w:shd w:fill="F8FAFC"/>
            <w:tcMar>
              <w:top w:w="35" w:type="dxa"/>
              <w:bottom w:w="35" w:type="dxa"/>
              <w:left w:w="60" w:type="dxa"/>
              <w:right w:w="60" w:type="dxa"/>
            </w:tcMar>
          </w:tcPr>
          <w:p>
            <w:r>
              <w:rPr>
                <w:rFonts w:ascii="Times New Roman" w:hAnsi="Times New Roman"/>
                <w:color w:val="1E293B"/>
                <w:sz w:val="16"/>
              </w:rPr>
              <w:t>Record operational errors and state transitions with timestamps and correlation identifiers, while excluding secrets and unnecessary personal data.</w:t>
            </w:r>
          </w:p>
        </w:tc>
      </w:tr>
    </w:tbl>
    <w:p>
      <w:pPr>
        <w:spacing w:before="0" w:after="120" w:line="283" w:lineRule="auto"/>
        <w:jc w:val="left"/>
      </w:pPr>
    </w:p>
    <w:p>
      <w:pPr>
        <w:spacing w:before="120" w:after="40" w:line="276" w:lineRule="auto"/>
        <w:jc w:val="left"/>
      </w:pPr>
      <w:r>
        <w:rPr>
          <w:rFonts w:ascii="Times New Roman" w:hAnsi="Times New Roman"/>
          <w:b/>
          <w:color w:val="0D6E85"/>
          <w:sz w:val="22"/>
        </w:rPr>
        <w:t>4.4 Requirement Prioritization</w:t>
      </w:r>
    </w:p>
    <w:p>
      <w:pPr>
        <w:spacing w:before="0" w:after="120" w:line="283" w:lineRule="auto"/>
        <w:jc w:val="left"/>
      </w:pPr>
      <w:r>
        <w:rPr>
          <w:rFonts w:ascii="Times New Roman" w:hAnsi="Times New Roman"/>
          <w:b w:val="0"/>
          <w:i w:val="0"/>
          <w:color w:val="1E293B"/>
          <w:sz w:val="20"/>
        </w:rPr>
        <w:t>For Milestone 2, prioritize the end-to-end path for one senior and one consented caregiver: sign-in, caregiver pairing, routine creation, reminder state transition, acknowledgement, missed-event alert, and dashboard display. Add cognitive activities and deterministic scoring next. Conversational AI and advanced trend visualization should not delay safe completion of the core routine workflow.</w:t>
      </w:r>
    </w:p>
    <w:p>
      <w:pPr>
        <w:spacing w:before="160" w:after="60" w:line="276" w:lineRule="auto"/>
        <w:jc w:val="left"/>
      </w:pPr>
      <w:r>
        <w:rPr>
          <w:rFonts w:ascii="Times New Roman" w:hAnsi="Times New Roman"/>
          <w:b/>
          <w:color w:val="0F2C59"/>
          <w:sz w:val="26"/>
        </w:rPr>
        <w:t>5. Proposed Architecture and Core Logic</w:t>
      </w:r>
    </w:p>
    <w:p>
      <w:pPr>
        <w:spacing w:before="120" w:after="40" w:line="276" w:lineRule="auto"/>
        <w:jc w:val="left"/>
      </w:pPr>
      <w:r>
        <w:rPr>
          <w:rFonts w:ascii="Times New Roman" w:hAnsi="Times New Roman"/>
          <w:b/>
          <w:color w:val="0D6E85"/>
          <w:sz w:val="22"/>
        </w:rPr>
        <w:t>5.1 Architecture Choice</w:t>
      </w:r>
    </w:p>
    <w:p>
      <w:pPr>
        <w:spacing w:before="0" w:after="0" w:line="283" w:lineRule="auto"/>
        <w:jc w:val="left"/>
      </w:pPr>
      <w:r>
        <w:rPr>
          <w:rFonts w:ascii="Times New Roman" w:hAnsi="Times New Roman"/>
          <w:b w:val="0"/>
          <w:i w:val="0"/>
          <w:color w:val="1E293B"/>
          <w:sz w:val="20"/>
        </w:rPr>
        <w:t>CogniCare is proposed as a modular monolith with explicit internal boundaries. This is appropriate for a small capstone team because it reduces operational complexity while allowing modules to be tested independently. A modular monolith does not remove the need for transaction design, locking, idempotency, or failure handling; these are defined at the service and database boundary. PostgreSQL transactions will be used for atomic multi-step writes where required [9].</w:t>
      </w:r>
    </w:p>
    <w:p>
      <w:r>
        <w:br w:type="page"/>
      </w:r>
    </w:p>
    <w:p>
      <w:pPr>
        <w:spacing w:before="40" w:after="40"/>
        <w:jc w:val="center"/>
      </w:pPr>
      <w:r>
        <w:drawing>
          <wp:inline xmlns:a="http://schemas.openxmlformats.org/drawingml/2006/main" xmlns:pic="http://schemas.openxmlformats.org/drawingml/2006/picture">
            <wp:extent cx="5669280" cy="3172097"/>
            <wp:docPr id="2" name="Picture 2"/>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669280" cy="3172097"/>
                    </a:xfrm>
                    <a:prstGeom prst="rect"/>
                  </pic:spPr>
                </pic:pic>
              </a:graphicData>
            </a:graphic>
          </wp:inline>
        </w:drawing>
      </w:r>
    </w:p>
    <w:p>
      <w:pPr>
        <w:spacing w:before="0" w:after="120" w:line="283" w:lineRule="auto"/>
        <w:jc w:val="center"/>
      </w:pPr>
      <w:r>
        <w:rPr>
          <w:rFonts w:ascii="Times New Roman" w:hAnsi="Times New Roman"/>
          <w:b w:val="0"/>
          <w:i/>
          <w:color w:val="64748B"/>
          <w:sz w:val="17"/>
        </w:rPr>
        <w:t>Figure 1. Proposed four-layer architecture and safety boundary. External AI and notification providers are accessed through adapters; deterministic care logic remains internal.</w:t>
      </w:r>
    </w:p>
    <w:p>
      <w:pPr>
        <w:spacing w:before="120" w:after="40" w:line="276" w:lineRule="auto"/>
        <w:jc w:val="left"/>
      </w:pPr>
      <w:r>
        <w:rPr>
          <w:rFonts w:ascii="Times New Roman" w:hAnsi="Times New Roman"/>
          <w:b/>
          <w:color w:val="0D6E85"/>
          <w:sz w:val="22"/>
        </w:rPr>
        <w:t>5.2 Technology Responsibilities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50" w:type="dxa"/>
              <w:bottom w:w="50" w:type="dxa"/>
              <w:left w:w="60" w:type="dxa"/>
              <w:right w:w="60" w:type="dxa"/>
            </w:tcMar>
          </w:tcPr>
          <w:p>
            <w:r>
              <w:rPr>
                <w:rFonts w:ascii="Times New Roman" w:hAnsi="Times New Roman"/>
                <w:b/>
                <w:color w:val="FFFFFF"/>
                <w:sz w:val="17"/>
              </w:rPr>
              <w:t>Component</w:t>
            </w:r>
          </w:p>
        </w:tc>
        <w:tc>
          <w:tcPr>
            <w:tcW w:type="dxa" w:w="3120"/>
            <w:shd w:fill="0F2C59"/>
            <w:tcMar>
              <w:top w:w="50" w:type="dxa"/>
              <w:bottom w:w="50" w:type="dxa"/>
              <w:left w:w="60" w:type="dxa"/>
              <w:right w:w="60" w:type="dxa"/>
            </w:tcMar>
          </w:tcPr>
          <w:p>
            <w:r>
              <w:rPr>
                <w:rFonts w:ascii="Times New Roman" w:hAnsi="Times New Roman"/>
                <w:b/>
                <w:color w:val="FFFFFF"/>
                <w:sz w:val="17"/>
              </w:rPr>
              <w:t>Responsibility</w:t>
            </w:r>
          </w:p>
        </w:tc>
        <w:tc>
          <w:tcPr>
            <w:tcW w:type="dxa" w:w="3120"/>
            <w:shd w:fill="0F2C59"/>
            <w:tcMar>
              <w:top w:w="50" w:type="dxa"/>
              <w:bottom w:w="50" w:type="dxa"/>
              <w:left w:w="60" w:type="dxa"/>
              <w:right w:w="60" w:type="dxa"/>
            </w:tcMar>
          </w:tcPr>
          <w:p>
            <w:r>
              <w:rPr>
                <w:rFonts w:ascii="Times New Roman" w:hAnsi="Times New Roman"/>
                <w:b/>
                <w:color w:val="FFFFFF"/>
                <w:sz w:val="17"/>
              </w:rPr>
              <w:t>Implementation note</w:t>
            </w:r>
          </w:p>
        </w:tc>
      </w:tr>
      <w:tr>
        <w:tc>
          <w:tcPr>
            <w:tcW w:type="dxa" w:w="3120"/>
            <w:shd w:fill="F8FAFC"/>
            <w:tcMar>
              <w:top w:w="35" w:type="dxa"/>
              <w:bottom w:w="35" w:type="dxa"/>
              <w:left w:w="60" w:type="dxa"/>
              <w:right w:w="60" w:type="dxa"/>
            </w:tcMar>
          </w:tcPr>
          <w:p>
            <w:r>
              <w:rPr>
                <w:rFonts w:ascii="Times New Roman" w:hAnsi="Times New Roman"/>
                <w:color w:val="1E293B"/>
                <w:sz w:val="16"/>
              </w:rPr>
              <w:t>Next.js App Router + TypeScript</w:t>
            </w:r>
          </w:p>
        </w:tc>
        <w:tc>
          <w:tcPr>
            <w:tcW w:type="dxa" w:w="3120"/>
            <w:shd w:fill="F8FAFC"/>
            <w:tcMar>
              <w:top w:w="35" w:type="dxa"/>
              <w:bottom w:w="35" w:type="dxa"/>
              <w:left w:w="60" w:type="dxa"/>
              <w:right w:w="60" w:type="dxa"/>
            </w:tcMar>
          </w:tcPr>
          <w:p>
            <w:r>
              <w:rPr>
                <w:rFonts w:ascii="Times New Roman" w:hAnsi="Times New Roman"/>
                <w:color w:val="1E293B"/>
                <w:sz w:val="16"/>
              </w:rPr>
              <w:t>Senior PWA, caregiver dashboard, accessible components, and navigation.</w:t>
            </w:r>
          </w:p>
        </w:tc>
        <w:tc>
          <w:tcPr>
            <w:tcW w:type="dxa" w:w="3120"/>
            <w:shd w:fill="F8FAFC"/>
            <w:tcMar>
              <w:top w:w="35" w:type="dxa"/>
              <w:bottom w:w="35" w:type="dxa"/>
              <w:left w:w="60" w:type="dxa"/>
              <w:right w:w="60" w:type="dxa"/>
            </w:tcMar>
          </w:tcPr>
          <w:p>
            <w:r>
              <w:rPr>
                <w:rFonts w:ascii="Times New Roman" w:hAnsi="Times New Roman"/>
                <w:color w:val="1E293B"/>
                <w:sz w:val="16"/>
              </w:rPr>
              <w:t>Pin a supported version at implementation start; official documentation describes the App Router model [8].</w:t>
            </w:r>
          </w:p>
        </w:tc>
      </w:tr>
      <w:tr>
        <w:tc>
          <w:tcPr>
            <w:tcW w:type="dxa" w:w="3120"/>
            <w:shd w:fill="FFFFFF"/>
            <w:tcMar>
              <w:top w:w="35" w:type="dxa"/>
              <w:bottom w:w="35" w:type="dxa"/>
              <w:left w:w="60" w:type="dxa"/>
              <w:right w:w="60" w:type="dxa"/>
            </w:tcMar>
          </w:tcPr>
          <w:p>
            <w:r>
              <w:rPr>
                <w:rFonts w:ascii="Times New Roman" w:hAnsi="Times New Roman"/>
                <w:color w:val="1E293B"/>
                <w:sz w:val="16"/>
              </w:rPr>
              <w:t>FastAPI + Pydantic</w:t>
            </w:r>
          </w:p>
        </w:tc>
        <w:tc>
          <w:tcPr>
            <w:tcW w:type="dxa" w:w="3120"/>
            <w:shd w:fill="FFFFFF"/>
            <w:tcMar>
              <w:top w:w="35" w:type="dxa"/>
              <w:bottom w:w="35" w:type="dxa"/>
              <w:left w:w="60" w:type="dxa"/>
              <w:right w:w="60" w:type="dxa"/>
            </w:tcMar>
          </w:tcPr>
          <w:p>
            <w:r>
              <w:rPr>
                <w:rFonts w:ascii="Times New Roman" w:hAnsi="Times New Roman"/>
                <w:color w:val="1E293B"/>
                <w:sz w:val="16"/>
              </w:rPr>
              <w:t>REST API, request validation, authentication/authorization dependencies, and OpenAPI documentation.</w:t>
            </w:r>
          </w:p>
        </w:tc>
        <w:tc>
          <w:tcPr>
            <w:tcW w:type="dxa" w:w="3120"/>
            <w:shd w:fill="FFFFFF"/>
            <w:tcMar>
              <w:top w:w="35" w:type="dxa"/>
              <w:bottom w:w="35" w:type="dxa"/>
              <w:left w:w="60" w:type="dxa"/>
              <w:right w:w="60" w:type="dxa"/>
            </w:tcMar>
          </w:tcPr>
          <w:p>
            <w:r>
              <w:rPr>
                <w:rFonts w:ascii="Times New Roman" w:hAnsi="Times New Roman"/>
                <w:color w:val="1E293B"/>
                <w:sz w:val="16"/>
              </w:rPr>
              <w:t>Keep route handlers thin; put business rules in domain/application services [10].</w:t>
            </w:r>
          </w:p>
        </w:tc>
      </w:tr>
      <w:tr>
        <w:tc>
          <w:tcPr>
            <w:tcW w:type="dxa" w:w="3120"/>
            <w:shd w:fill="F8FAFC"/>
            <w:tcMar>
              <w:top w:w="35" w:type="dxa"/>
              <w:bottom w:w="35" w:type="dxa"/>
              <w:left w:w="60" w:type="dxa"/>
              <w:right w:w="60" w:type="dxa"/>
            </w:tcMar>
          </w:tcPr>
          <w:p>
            <w:r>
              <w:rPr>
                <w:rFonts w:ascii="Times New Roman" w:hAnsi="Times New Roman"/>
                <w:color w:val="1E293B"/>
                <w:sz w:val="16"/>
              </w:rPr>
              <w:t>PostgreSQL</w:t>
            </w:r>
          </w:p>
        </w:tc>
        <w:tc>
          <w:tcPr>
            <w:tcW w:type="dxa" w:w="3120"/>
            <w:shd w:fill="F8FAFC"/>
            <w:tcMar>
              <w:top w:w="35" w:type="dxa"/>
              <w:bottom w:w="35" w:type="dxa"/>
              <w:left w:w="60" w:type="dxa"/>
              <w:right w:w="60" w:type="dxa"/>
            </w:tcMar>
          </w:tcPr>
          <w:p>
            <w:r>
              <w:rPr>
                <w:rFonts w:ascii="Times New Roman" w:hAnsi="Times New Roman"/>
                <w:color w:val="1E293B"/>
                <w:sz w:val="16"/>
              </w:rPr>
              <w:t>Persistent users, consent links, routines, reminder instances, activity results, alert events, and audit metadata.</w:t>
            </w:r>
          </w:p>
        </w:tc>
        <w:tc>
          <w:tcPr>
            <w:tcW w:type="dxa" w:w="3120"/>
            <w:shd w:fill="F8FAFC"/>
            <w:tcMar>
              <w:top w:w="35" w:type="dxa"/>
              <w:bottom w:w="35" w:type="dxa"/>
              <w:left w:w="60" w:type="dxa"/>
              <w:right w:w="60" w:type="dxa"/>
            </w:tcMar>
          </w:tcPr>
          <w:p>
            <w:r>
              <w:rPr>
                <w:rFonts w:ascii="Times New Roman" w:hAnsi="Times New Roman"/>
                <w:color w:val="1E293B"/>
                <w:sz w:val="16"/>
              </w:rPr>
              <w:t>Use transactions for related state changes; add foreign keys, indexes, and constraints.</w:t>
            </w:r>
          </w:p>
        </w:tc>
      </w:tr>
      <w:tr>
        <w:tc>
          <w:tcPr>
            <w:tcW w:type="dxa" w:w="3120"/>
            <w:shd w:fill="FFFFFF"/>
            <w:tcMar>
              <w:top w:w="35" w:type="dxa"/>
              <w:bottom w:w="35" w:type="dxa"/>
              <w:left w:w="60" w:type="dxa"/>
              <w:right w:w="60" w:type="dxa"/>
            </w:tcMar>
          </w:tcPr>
          <w:p>
            <w:r>
              <w:rPr>
                <w:rFonts w:ascii="Times New Roman" w:hAnsi="Times New Roman"/>
                <w:color w:val="1E293B"/>
                <w:sz w:val="16"/>
              </w:rPr>
              <w:t>SQLAlchemy + Alembic</w:t>
            </w:r>
          </w:p>
        </w:tc>
        <w:tc>
          <w:tcPr>
            <w:tcW w:type="dxa" w:w="3120"/>
            <w:shd w:fill="FFFFFF"/>
            <w:tcMar>
              <w:top w:w="35" w:type="dxa"/>
              <w:bottom w:w="35" w:type="dxa"/>
              <w:left w:w="60" w:type="dxa"/>
              <w:right w:w="60" w:type="dxa"/>
            </w:tcMar>
          </w:tcPr>
          <w:p>
            <w:r>
              <w:rPr>
                <w:rFonts w:ascii="Times New Roman" w:hAnsi="Times New Roman"/>
                <w:color w:val="1E293B"/>
                <w:sz w:val="16"/>
              </w:rPr>
              <w:t>Database mapping and versioned migrations.</w:t>
            </w:r>
          </w:p>
        </w:tc>
        <w:tc>
          <w:tcPr>
            <w:tcW w:type="dxa" w:w="3120"/>
            <w:shd w:fill="FFFFFF"/>
            <w:tcMar>
              <w:top w:w="35" w:type="dxa"/>
              <w:bottom w:w="35" w:type="dxa"/>
              <w:left w:w="60" w:type="dxa"/>
              <w:right w:w="60" w:type="dxa"/>
            </w:tcMar>
          </w:tcPr>
          <w:p>
            <w:r>
              <w:rPr>
                <w:rFonts w:ascii="Times New Roman" w:hAnsi="Times New Roman"/>
                <w:color w:val="1E293B"/>
                <w:sz w:val="16"/>
              </w:rPr>
              <w:t>Migrations must be reviewable and repeatable; do not change production schema manually.</w:t>
            </w:r>
          </w:p>
        </w:tc>
      </w:tr>
      <w:tr>
        <w:tc>
          <w:tcPr>
            <w:tcW w:type="dxa" w:w="3120"/>
            <w:shd w:fill="F8FAFC"/>
            <w:tcMar>
              <w:top w:w="35" w:type="dxa"/>
              <w:bottom w:w="35" w:type="dxa"/>
              <w:left w:w="60" w:type="dxa"/>
              <w:right w:w="60" w:type="dxa"/>
            </w:tcMar>
          </w:tcPr>
          <w:p>
            <w:r>
              <w:rPr>
                <w:rFonts w:ascii="Times New Roman" w:hAnsi="Times New Roman"/>
                <w:color w:val="1E293B"/>
                <w:sz w:val="16"/>
              </w:rPr>
              <w:t>PWA service worker + IndexedDB</w:t>
            </w:r>
          </w:p>
        </w:tc>
        <w:tc>
          <w:tcPr>
            <w:tcW w:type="dxa" w:w="3120"/>
            <w:shd w:fill="F8FAFC"/>
            <w:tcMar>
              <w:top w:w="35" w:type="dxa"/>
              <w:bottom w:w="35" w:type="dxa"/>
              <w:left w:w="60" w:type="dxa"/>
              <w:right w:w="60" w:type="dxa"/>
            </w:tcMar>
          </w:tcPr>
          <w:p>
            <w:r>
              <w:rPr>
                <w:rFonts w:ascii="Times New Roman" w:hAnsi="Times New Roman"/>
                <w:color w:val="1E293B"/>
                <w:sz w:val="16"/>
              </w:rPr>
              <w:t>Cache approved static assets and selected routine/activity data; queue limited offline events.</w:t>
            </w:r>
          </w:p>
        </w:tc>
        <w:tc>
          <w:tcPr>
            <w:tcW w:type="dxa" w:w="3120"/>
            <w:shd w:fill="F8FAFC"/>
            <w:tcMar>
              <w:top w:w="35" w:type="dxa"/>
              <w:bottom w:w="35" w:type="dxa"/>
              <w:left w:w="60" w:type="dxa"/>
              <w:right w:w="60" w:type="dxa"/>
            </w:tcMar>
          </w:tcPr>
          <w:p>
            <w:r>
              <w:rPr>
                <w:rFonts w:ascii="Times New Roman" w:hAnsi="Times New Roman"/>
                <w:color w:val="1E293B"/>
                <w:sz w:val="16"/>
              </w:rPr>
              <w:t>Do not imply that IndexedDB content is inherently secure; minimize data stored locally.</w:t>
            </w:r>
          </w:p>
        </w:tc>
      </w:tr>
      <w:tr>
        <w:tc>
          <w:tcPr>
            <w:tcW w:type="dxa" w:w="3120"/>
            <w:shd w:fill="FFFFFF"/>
            <w:tcMar>
              <w:top w:w="35" w:type="dxa"/>
              <w:bottom w:w="35" w:type="dxa"/>
              <w:left w:w="60" w:type="dxa"/>
              <w:right w:w="60" w:type="dxa"/>
            </w:tcMar>
          </w:tcPr>
          <w:p>
            <w:r>
              <w:rPr>
                <w:rFonts w:ascii="Times New Roman" w:hAnsi="Times New Roman"/>
                <w:color w:val="1E293B"/>
                <w:sz w:val="16"/>
              </w:rPr>
              <w:t>Gemini Live API adapter</w:t>
            </w:r>
          </w:p>
        </w:tc>
        <w:tc>
          <w:tcPr>
            <w:tcW w:type="dxa" w:w="3120"/>
            <w:shd w:fill="FFFFFF"/>
            <w:tcMar>
              <w:top w:w="35" w:type="dxa"/>
              <w:bottom w:w="35" w:type="dxa"/>
              <w:left w:w="60" w:type="dxa"/>
              <w:right w:w="60" w:type="dxa"/>
            </w:tcMar>
          </w:tcPr>
          <w:p>
            <w:r>
              <w:rPr>
                <w:rFonts w:ascii="Times New Roman" w:hAnsi="Times New Roman"/>
                <w:color w:val="1E293B"/>
                <w:sz w:val="16"/>
              </w:rPr>
              <w:t>Optional conversational interaction; provider/model identifiers are configured and verified at implementation time.</w:t>
            </w:r>
          </w:p>
        </w:tc>
        <w:tc>
          <w:tcPr>
            <w:tcW w:type="dxa" w:w="3120"/>
            <w:shd w:fill="FFFFFF"/>
            <w:tcMar>
              <w:top w:w="35" w:type="dxa"/>
              <w:bottom w:w="35" w:type="dxa"/>
              <w:left w:w="60" w:type="dxa"/>
              <w:right w:w="60" w:type="dxa"/>
            </w:tcMar>
          </w:tcPr>
          <w:p>
            <w:r>
              <w:rPr>
                <w:rFonts w:ascii="Times New Roman" w:hAnsi="Times New Roman"/>
                <w:color w:val="1E293B"/>
                <w:sz w:val="16"/>
              </w:rPr>
              <w:t>Use the current official model catalog [11]; do not hard-code a retired identifier.</w:t>
            </w:r>
          </w:p>
        </w:tc>
      </w:tr>
      <w:tr>
        <w:tc>
          <w:tcPr>
            <w:tcW w:type="dxa" w:w="3120"/>
            <w:shd w:fill="F8FAFC"/>
            <w:tcMar>
              <w:top w:w="35" w:type="dxa"/>
              <w:bottom w:w="35" w:type="dxa"/>
              <w:left w:w="60" w:type="dxa"/>
              <w:right w:w="60" w:type="dxa"/>
            </w:tcMar>
          </w:tcPr>
          <w:p>
            <w:r>
              <w:rPr>
                <w:rFonts w:ascii="Times New Roman" w:hAnsi="Times New Roman"/>
                <w:color w:val="1E293B"/>
                <w:sz w:val="16"/>
              </w:rPr>
              <w:t>Local fallback module</w:t>
            </w:r>
          </w:p>
        </w:tc>
        <w:tc>
          <w:tcPr>
            <w:tcW w:type="dxa" w:w="3120"/>
            <w:shd w:fill="F8FAFC"/>
            <w:tcMar>
              <w:top w:w="35" w:type="dxa"/>
              <w:bottom w:w="35" w:type="dxa"/>
              <w:left w:w="60" w:type="dxa"/>
              <w:right w:w="60" w:type="dxa"/>
            </w:tcMar>
          </w:tcPr>
          <w:p>
            <w:r>
              <w:rPr>
                <w:rFonts w:ascii="Times New Roman" w:hAnsi="Times New Roman"/>
                <w:color w:val="1E293B"/>
                <w:sz w:val="16"/>
              </w:rPr>
              <w:t>Return only tested, pre-approved prompts or basic app guidance when cloud service is unavailable.</w:t>
            </w:r>
          </w:p>
        </w:tc>
        <w:tc>
          <w:tcPr>
            <w:tcW w:type="dxa" w:w="3120"/>
            <w:shd w:fill="F8FAFC"/>
            <w:tcMar>
              <w:top w:w="35" w:type="dxa"/>
              <w:bottom w:w="35" w:type="dxa"/>
              <w:left w:w="60" w:type="dxa"/>
              <w:right w:w="60" w:type="dxa"/>
            </w:tcMar>
          </w:tcPr>
          <w:p>
            <w:r>
              <w:rPr>
                <w:rFonts w:ascii="Times New Roman" w:hAnsi="Times New Roman"/>
                <w:color w:val="1E293B"/>
                <w:sz w:val="16"/>
              </w:rPr>
              <w:t>No open-ended local reasoning is assumed; AI is not required for reminders or scoring.</w:t>
            </w:r>
          </w:p>
        </w:tc>
      </w:tr>
    </w:tbl>
    <w:p>
      <w:r>
        <w:br w:type="page"/>
      </w:r>
    </w:p>
    <w:p>
      <w:pPr>
        <w:spacing w:before="120" w:after="40" w:line="276" w:lineRule="auto"/>
        <w:jc w:val="left"/>
      </w:pPr>
      <w:r>
        <w:rPr>
          <w:rFonts w:ascii="Times New Roman" w:hAnsi="Times New Roman"/>
          <w:b/>
          <w:color w:val="0D6E85"/>
          <w:sz w:val="22"/>
        </w:rPr>
        <w:t>5.3 Principal Data Entities</w:t>
      </w:r>
    </w:p>
    <w:p>
      <w:pPr>
        <w:spacing w:before="0" w:after="40" w:line="283" w:lineRule="auto"/>
        <w:jc w:val="left"/>
      </w:pPr>
      <w:r>
        <w:rPr>
          <w:rFonts w:ascii="Times New Roman" w:hAnsi="Times New Roman"/>
          <w:b w:val="0"/>
          <w:i w:val="0"/>
          <w:color w:val="1E293B"/>
          <w:sz w:val="20"/>
        </w:rPr>
        <w:t>The first relational schema should keep identity, care relationships, operational events, and optional conversation metadata separate. Proposed entities are:</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User: identity, role, authentication metadata, preferences, and account status.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CareRelationship and ConsentGrant: pairing status, permission tier, invitation expiry, consent time, and revocation time.</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Routine and ReminderInstance: schedule definition, time zone, due time, current state, deadline, and event history.</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ActivitySession and ActivityResponse: activity version, difficulty, response data needed for scoring, score version, and completion time.</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CaregiverAlert: alert type, target, attempt status, delivery result if available, and relevant event identifier.</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AuditEvent: actor, action, affected record identifier, timestamp, and outcome; omit unnecessary secrets and message content.</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AIConversationMetadata: provider/model version, interaction time, safety outcome, and minimal operational metadata. Avoid storing full transcripts by default unless a justified, consented need is established.</w:t>
      </w:r>
    </w:p>
    <w:p>
      <w:pPr>
        <w:spacing w:before="120" w:after="40" w:line="276" w:lineRule="auto"/>
        <w:jc w:val="left"/>
      </w:pPr>
      <w:r>
        <w:rPr>
          <w:rFonts w:ascii="Times New Roman" w:hAnsi="Times New Roman"/>
          <w:b/>
          <w:color w:val="0D6E85"/>
          <w:sz w:val="22"/>
        </w:rPr>
        <w:t>5.4 Reminder State Machine</w:t>
      </w:r>
    </w:p>
    <w:p>
      <w:pPr>
        <w:spacing w:before="0" w:after="60" w:line="283" w:lineRule="auto"/>
        <w:jc w:val="left"/>
      </w:pPr>
      <w:r>
        <w:rPr>
          <w:rFonts w:ascii="Times New Roman" w:hAnsi="Times New Roman"/>
          <w:b w:val="0"/>
          <w:i w:val="0"/>
          <w:color w:val="1E293B"/>
          <w:sz w:val="20"/>
        </w:rPr>
        <w:t>Reminder processing must be predictable and auditable. A scheduled reminder transitions to TRIGGERED at its due time. The senior can acknowledge it or snooze it. If the configured deadline expires without acknowledgement, the reminder becomes MISSED and may create a caregiver alert according to the routine urgency and consented alert policy.</w:t>
      </w:r>
    </w:p>
    <w:p>
      <w:pPr>
        <w:spacing w:before="40" w:after="40"/>
        <w:jc w:val="center"/>
      </w:pPr>
      <w:r>
        <w:drawing>
          <wp:inline xmlns:a="http://schemas.openxmlformats.org/drawingml/2006/main" xmlns:pic="http://schemas.openxmlformats.org/drawingml/2006/picture">
            <wp:extent cx="5486400" cy="2418548"/>
            <wp:docPr id="3" name="Picture 3"/>
            <wp:cNvGraphicFramePr>
              <a:graphicFrameLocks noChangeAspect="1"/>
            </wp:cNvGraphicFramePr>
            <a:graphic>
              <a:graphicData uri="http://schemas.openxmlformats.org/drawingml/2006/picture">
                <pic:pic>
                  <pic:nvPicPr>
                    <pic:cNvPr id="0" name="figure2_state_machine.png"/>
                    <pic:cNvPicPr/>
                  </pic:nvPicPr>
                  <pic:blipFill>
                    <a:blip r:embed="rId12"/>
                    <a:stretch>
                      <a:fillRect/>
                    </a:stretch>
                  </pic:blipFill>
                  <pic:spPr>
                    <a:xfrm>
                      <a:off x="0" y="0"/>
                      <a:ext cx="5486400" cy="2418548"/>
                    </a:xfrm>
                    <a:prstGeom prst="rect"/>
                  </pic:spPr>
                </pic:pic>
              </a:graphicData>
            </a:graphic>
          </wp:inline>
        </w:drawing>
      </w:r>
    </w:p>
    <w:p>
      <w:pPr>
        <w:spacing w:before="0" w:after="80" w:line="283" w:lineRule="auto"/>
        <w:jc w:val="center"/>
      </w:pPr>
      <w:r>
        <w:rPr>
          <w:rFonts w:ascii="Times New Roman" w:hAnsi="Times New Roman"/>
          <w:b w:val="0"/>
          <w:i/>
          <w:color w:val="64748B"/>
          <w:sz w:val="17"/>
        </w:rPr>
        <w:t>Figure 2. Proposed reminder state machine. “Acknowledged” means the user reported a status; it does not independently verify medication ingestion.</w:t>
      </w:r>
    </w:p>
    <w:p>
      <w:pPr>
        <w:spacing w:before="0" w:after="80" w:line="283" w:lineRule="auto"/>
        <w:jc w:val="left"/>
      </w:pPr>
      <w:r>
        <w:rPr>
          <w:rFonts w:ascii="Times New Roman" w:hAnsi="Times New Roman"/>
          <w:b w:val="0"/>
          <w:i w:val="0"/>
          <w:color w:val="1E293B"/>
          <w:sz w:val="20"/>
        </w:rPr>
        <w:t>Implementation rules: (1) store timestamps in a consistent server-side format and render them in the user’s time zone; (2) make event processing idempotent so retries do not create duplicate acknowledgements or alerts; (3) define what happens when a snooze would cross the final deadline; (4) record alert attempts and delivery feedback where the provider exposes it; and (5) display network or delivery uncertainty clearly. Emergency alerts must never depend on a generative AI decision.</w:t>
      </w:r>
    </w:p>
    <w:p>
      <w:pPr>
        <w:spacing w:before="120" w:after="40" w:line="276" w:lineRule="auto"/>
        <w:jc w:val="left"/>
      </w:pPr>
      <w:r>
        <w:rPr>
          <w:rFonts w:ascii="Times New Roman" w:hAnsi="Times New Roman"/>
          <w:b/>
          <w:color w:val="0D6E85"/>
          <w:sz w:val="22"/>
        </w:rPr>
        <w:t>5.5 Deterministic Activity Scoring</w:t>
      </w:r>
    </w:p>
    <w:p>
      <w:pPr>
        <w:spacing w:before="0" w:after="0" w:line="283" w:lineRule="auto"/>
        <w:jc w:val="left"/>
      </w:pPr>
      <w:r>
        <w:rPr>
          <w:rFonts w:ascii="Times New Roman" w:hAnsi="Times New Roman"/>
          <w:b w:val="0"/>
          <w:i w:val="0"/>
          <w:color w:val="1E293B"/>
          <w:sz w:val="20"/>
        </w:rPr>
        <w:t>Activity scores are intended as descriptive engagement summaries, not clinical metrics. The score should remain within 0–100, be reproducible for identical inputs, and be versioned so later formula changes do not silently rewrite prior results.</w:t>
      </w:r>
    </w:p>
    <w:p>
      <w:r>
        <w:br w:type="page"/>
      </w:r>
    </w:p>
    <w:tbl>
      <w:tblPr>
        <w:tblW w:type="auto" w:w="0"/>
        <w:jc w:val="center"/>
        <w:tblLook w:firstColumn="1" w:firstRow="1" w:lastColumn="0" w:lastRow="0" w:noHBand="0" w:noVBand="1" w:val="04A0"/>
      </w:tblPr>
      <w:tblGrid>
        <w:gridCol w:w="9360"/>
      </w:tblGrid>
      <w:tr>
        <w:tc>
          <w:tcPr>
            <w:tcW w:type="dxa" w:w="9360"/>
            <w:shd w:fill="F0F9FF"/>
            <w:tcMar>
              <w:top w:w="100" w:type="dxa"/>
              <w:bottom w:w="100" w:type="dxa"/>
              <w:left w:w="140" w:type="dxa"/>
              <w:right w:w="140" w:type="dxa"/>
            </w:tcMar>
            <w:tcBorders>
              <w:left w:val="single" w:sz="32" w:space="0" w:color="0284C7"/>
              <w:top w:val="none"/>
              <w:right w:val="none"/>
              <w:bottom w:val="none"/>
            </w:tcBorders>
          </w:tcPr>
          <w:p>
            <w:pPr>
              <w:spacing w:before="40" w:after="40" w:line="276" w:lineRule="auto"/>
            </w:pPr>
            <w:r>
              <w:rPr>
                <w:rFonts w:ascii="Times New Roman" w:hAnsi="Times New Roman"/>
                <w:b/>
                <w:color w:val="0284C7"/>
                <w:sz w:val="21"/>
              </w:rPr>
              <w:t>Proposed baseline formula</w:t>
              <w:br/>
            </w:r>
            <w:r>
              <w:rPr>
                <w:rFonts w:ascii="Times New Roman" w:hAnsi="Times New Roman"/>
                <w:color w:val="1E293B"/>
                <w:sz w:val="19"/>
              </w:rPr>
              <w:t>Score = round(100 × (0.60 × A + 0.40 × L))</w:t>
              <w:br/>
              <w:t>A = correct valid responses / total valid responses.</w:t>
              <w:br/>
              <w:t>For each valid response i, Lᵢ = clamp(Ttarget / max(Tᵢ, ε), 0.20, 1.00); L is the mean of Lᵢ across the session. Ttarget is an activity-specific reference time, Tᵢ is the observed response time, and ε prevents division by zero. If no valid responses exist, the session is unscored rather than assigned zero.</w:t>
            </w:r>
          </w:p>
        </w:tc>
      </w:tr>
    </w:tbl>
    <w:p>
      <w:pPr>
        <w:spacing w:before="0" w:after="80" w:line="283" w:lineRule="auto"/>
        <w:jc w:val="left"/>
      </w:pPr>
      <w:r>
        <w:rPr>
          <w:rFonts w:ascii="Times New Roman" w:hAnsi="Times New Roman"/>
          <w:b w:val="0"/>
          <w:i w:val="0"/>
          <w:color w:val="1E293B"/>
          <w:sz w:val="20"/>
        </w:rPr>
        <w:t>Difficulty is stored as context and used to compare sessions of similar activity and difficulty; it is not multiplied into the score. That avoids the previous design problem in which a difficulty multiplier could produce scores above 100. The response-time target must be tested for each activity and can be adjusted to reduce unnecessary time pressure. Trend views should preferably compare a person with their own prior sessions of comparable activity; no clinical threshold, diagnosis, or population ranking will be displayed.</w:t>
      </w:r>
    </w:p>
    <w:p>
      <w:pPr>
        <w:spacing w:before="120" w:after="40" w:line="276" w:lineRule="auto"/>
        <w:jc w:val="left"/>
      </w:pPr>
      <w:r>
        <w:rPr>
          <w:rFonts w:ascii="Times New Roman" w:hAnsi="Times New Roman"/>
          <w:b/>
          <w:color w:val="0D6E85"/>
          <w:sz w:val="22"/>
        </w:rPr>
        <w:t>5.6 AI Orchestration and Fallback</w:t>
      </w:r>
    </w:p>
    <w:p>
      <w:pPr>
        <w:spacing w:before="0" w:after="80" w:line="283" w:lineRule="auto"/>
        <w:jc w:val="left"/>
      </w:pPr>
      <w:r>
        <w:rPr>
          <w:rFonts w:ascii="Times New Roman" w:hAnsi="Times New Roman"/>
          <w:b w:val="0"/>
          <w:i w:val="0"/>
          <w:color w:val="1E293B"/>
          <w:sz w:val="20"/>
        </w:rPr>
        <w:t>The conversational assistant should be accessed through a provider interface so model versions can change without changing care logic. The preferred voice model and endpoint must be selected from the provider’s current documentation at implementation time [11]. The assistant can use a short system policy, minimal context, output limits, and safety filters. It must not schedule medication, determine that an event is missed, interpret activity scores as a diagnosis, or invent whether an alert reached a caregiver.</w:t>
      </w:r>
    </w:p>
    <w:p>
      <w:pPr>
        <w:spacing w:before="0" w:after="80" w:line="283" w:lineRule="auto"/>
        <w:jc w:val="left"/>
      </w:pPr>
      <w:r>
        <w:rPr>
          <w:rFonts w:ascii="Times New Roman" w:hAnsi="Times New Roman"/>
          <w:b w:val="0"/>
          <w:i w:val="0"/>
          <w:color w:val="1E293B"/>
          <w:sz w:val="20"/>
        </w:rPr>
        <w:t>On timeout, quota exhaustion, or loss of connectivity, the fallback should provide one of a small number of tested messages such as “I can still show your saved routine, but conversation is unavailable right now.” If the application is offline, the interface should clearly distinguish a locally saved event from an event successfully synchronized to the server. The local fallback is a graceful degradation mechanism, not a claim of full offline AI functionality or 100% availability.</w:t>
      </w:r>
    </w:p>
    <w:p>
      <w:pPr>
        <w:spacing w:before="160" w:after="60" w:line="276" w:lineRule="auto"/>
        <w:jc w:val="left"/>
      </w:pPr>
      <w:r>
        <w:rPr>
          <w:rFonts w:ascii="Times New Roman" w:hAnsi="Times New Roman"/>
          <w:b/>
          <w:color w:val="0F2C59"/>
          <w:sz w:val="26"/>
        </w:rPr>
        <w:t>6. Feasibility and Risk Management</w:t>
      </w:r>
    </w:p>
    <w:p>
      <w:pPr>
        <w:spacing w:before="120" w:after="40" w:line="276" w:lineRule="auto"/>
        <w:jc w:val="left"/>
      </w:pPr>
      <w:r>
        <w:rPr>
          <w:rFonts w:ascii="Times New Roman" w:hAnsi="Times New Roman"/>
          <w:b/>
          <w:color w:val="0D6E85"/>
          <w:sz w:val="22"/>
        </w:rPr>
        <w:t>6.1 Feasibility Assessment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50" w:type="dxa"/>
              <w:bottom w:w="50" w:type="dxa"/>
              <w:left w:w="60" w:type="dxa"/>
              <w:right w:w="60" w:type="dxa"/>
            </w:tcMar>
          </w:tcPr>
          <w:p>
            <w:r>
              <w:rPr>
                <w:rFonts w:ascii="Times New Roman" w:hAnsi="Times New Roman"/>
                <w:b/>
                <w:color w:val="FFFFFF"/>
                <w:sz w:val="17"/>
              </w:rPr>
              <w:t>Dimension</w:t>
            </w:r>
          </w:p>
        </w:tc>
        <w:tc>
          <w:tcPr>
            <w:tcW w:type="dxa" w:w="3120"/>
            <w:shd w:fill="0F2C59"/>
            <w:tcMar>
              <w:top w:w="50" w:type="dxa"/>
              <w:bottom w:w="50" w:type="dxa"/>
              <w:left w:w="60" w:type="dxa"/>
              <w:right w:w="60" w:type="dxa"/>
            </w:tcMar>
          </w:tcPr>
          <w:p>
            <w:r>
              <w:rPr>
                <w:rFonts w:ascii="Times New Roman" w:hAnsi="Times New Roman"/>
                <w:b/>
                <w:color w:val="FFFFFF"/>
                <w:sz w:val="17"/>
              </w:rPr>
              <w:t>Assessment</w:t>
            </w:r>
          </w:p>
        </w:tc>
        <w:tc>
          <w:tcPr>
            <w:tcW w:type="dxa" w:w="3120"/>
            <w:shd w:fill="0F2C59"/>
            <w:tcMar>
              <w:top w:w="50" w:type="dxa"/>
              <w:bottom w:w="50" w:type="dxa"/>
              <w:left w:w="60" w:type="dxa"/>
              <w:right w:w="60" w:type="dxa"/>
            </w:tcMar>
          </w:tcPr>
          <w:p>
            <w:r>
              <w:rPr>
                <w:rFonts w:ascii="Times New Roman" w:hAnsi="Times New Roman"/>
                <w:b/>
                <w:color w:val="FFFFFF"/>
                <w:sz w:val="17"/>
              </w:rPr>
              <w:t>Condition / evidence needed</w:t>
            </w:r>
          </w:p>
        </w:tc>
      </w:tr>
      <w:tr>
        <w:tc>
          <w:tcPr>
            <w:tcW w:type="dxa" w:w="3120"/>
            <w:shd w:fill="F8FAFC"/>
            <w:tcMar>
              <w:top w:w="35" w:type="dxa"/>
              <w:bottom w:w="35" w:type="dxa"/>
              <w:left w:w="60" w:type="dxa"/>
              <w:right w:w="60" w:type="dxa"/>
            </w:tcMar>
          </w:tcPr>
          <w:p>
            <w:r>
              <w:rPr>
                <w:rFonts w:ascii="Times New Roman" w:hAnsi="Times New Roman"/>
                <w:color w:val="1E293B"/>
                <w:sz w:val="16"/>
              </w:rPr>
              <w:t>Technical</w:t>
            </w:r>
          </w:p>
        </w:tc>
        <w:tc>
          <w:tcPr>
            <w:tcW w:type="dxa" w:w="3120"/>
            <w:shd w:fill="F8FAFC"/>
            <w:tcMar>
              <w:top w:w="35" w:type="dxa"/>
              <w:bottom w:w="35" w:type="dxa"/>
              <w:left w:w="60" w:type="dxa"/>
              <w:right w:w="60" w:type="dxa"/>
            </w:tcMar>
          </w:tcPr>
          <w:p>
            <w:r>
              <w:rPr>
                <w:rFonts w:ascii="Times New Roman" w:hAnsi="Times New Roman"/>
                <w:color w:val="1E293B"/>
                <w:sz w:val="16"/>
              </w:rPr>
              <w:t>Feasible for a student team using mainstream web, API, and relational database technologies.</w:t>
            </w:r>
          </w:p>
        </w:tc>
        <w:tc>
          <w:tcPr>
            <w:tcW w:type="dxa" w:w="3120"/>
            <w:shd w:fill="F8FAFC"/>
            <w:tcMar>
              <w:top w:w="35" w:type="dxa"/>
              <w:bottom w:w="35" w:type="dxa"/>
              <w:left w:w="60" w:type="dxa"/>
              <w:right w:w="60" w:type="dxa"/>
            </w:tcMar>
          </w:tcPr>
          <w:p>
            <w:r>
              <w:rPr>
                <w:rFonts w:ascii="Times New Roman" w:hAnsi="Times New Roman"/>
                <w:color w:val="1E293B"/>
                <w:sz w:val="16"/>
              </w:rPr>
              <w:t>Validate the complete flow in Docker Compose, including scheduled jobs, timezone handling, migrations, and notification failures.</w:t>
            </w:r>
          </w:p>
        </w:tc>
      </w:tr>
      <w:tr>
        <w:tc>
          <w:tcPr>
            <w:tcW w:type="dxa" w:w="3120"/>
            <w:shd w:fill="FFFFFF"/>
            <w:tcMar>
              <w:top w:w="35" w:type="dxa"/>
              <w:bottom w:w="35" w:type="dxa"/>
              <w:left w:w="60" w:type="dxa"/>
              <w:right w:w="60" w:type="dxa"/>
            </w:tcMar>
          </w:tcPr>
          <w:p>
            <w:r>
              <w:rPr>
                <w:rFonts w:ascii="Times New Roman" w:hAnsi="Times New Roman"/>
                <w:color w:val="1E293B"/>
                <w:sz w:val="16"/>
              </w:rPr>
              <w:t>Economic</w:t>
            </w:r>
          </w:p>
        </w:tc>
        <w:tc>
          <w:tcPr>
            <w:tcW w:type="dxa" w:w="3120"/>
            <w:shd w:fill="FFFFFF"/>
            <w:tcMar>
              <w:top w:w="35" w:type="dxa"/>
              <w:bottom w:w="35" w:type="dxa"/>
              <w:left w:w="60" w:type="dxa"/>
              <w:right w:w="60" w:type="dxa"/>
            </w:tcMar>
          </w:tcPr>
          <w:p>
            <w:r>
              <w:rPr>
                <w:rFonts w:ascii="Times New Roman" w:hAnsi="Times New Roman"/>
                <w:color w:val="1E293B"/>
                <w:sz w:val="16"/>
              </w:rPr>
              <w:t>A software-first PWA avoids requiring dedicated companion hardware.</w:t>
            </w:r>
          </w:p>
        </w:tc>
        <w:tc>
          <w:tcPr>
            <w:tcW w:type="dxa" w:w="3120"/>
            <w:shd w:fill="FFFFFF"/>
            <w:tcMar>
              <w:top w:w="35" w:type="dxa"/>
              <w:bottom w:w="35" w:type="dxa"/>
              <w:left w:w="60" w:type="dxa"/>
              <w:right w:w="60" w:type="dxa"/>
            </w:tcMar>
          </w:tcPr>
          <w:p>
            <w:r>
              <w:rPr>
                <w:rFonts w:ascii="Times New Roman" w:hAnsi="Times New Roman"/>
                <w:color w:val="1E293B"/>
                <w:sz w:val="16"/>
              </w:rPr>
              <w:t>Estimate hosting, database, notification, and AI-provider costs from actual traffic and usage; no fixed cost is promised in this report.</w:t>
            </w:r>
          </w:p>
        </w:tc>
      </w:tr>
      <w:tr>
        <w:tc>
          <w:tcPr>
            <w:tcW w:type="dxa" w:w="3120"/>
            <w:shd w:fill="F8FAFC"/>
            <w:tcMar>
              <w:top w:w="35" w:type="dxa"/>
              <w:bottom w:w="35" w:type="dxa"/>
              <w:left w:w="60" w:type="dxa"/>
              <w:right w:w="60" w:type="dxa"/>
            </w:tcMar>
          </w:tcPr>
          <w:p>
            <w:r>
              <w:rPr>
                <w:rFonts w:ascii="Times New Roman" w:hAnsi="Times New Roman"/>
                <w:color w:val="1E293B"/>
                <w:sz w:val="16"/>
              </w:rPr>
              <w:t>Operational</w:t>
            </w:r>
          </w:p>
        </w:tc>
        <w:tc>
          <w:tcPr>
            <w:tcW w:type="dxa" w:w="3120"/>
            <w:shd w:fill="F8FAFC"/>
            <w:tcMar>
              <w:top w:w="35" w:type="dxa"/>
              <w:bottom w:w="35" w:type="dxa"/>
              <w:left w:w="60" w:type="dxa"/>
              <w:right w:w="60" w:type="dxa"/>
            </w:tcMar>
          </w:tcPr>
          <w:p>
            <w:r>
              <w:rPr>
                <w:rFonts w:ascii="Times New Roman" w:hAnsi="Times New Roman"/>
                <w:color w:val="1E293B"/>
                <w:sz w:val="16"/>
              </w:rPr>
              <w:t>The core workflow can be designed around a few primary actions and a caregiver view.</w:t>
            </w:r>
          </w:p>
        </w:tc>
        <w:tc>
          <w:tcPr>
            <w:tcW w:type="dxa" w:w="3120"/>
            <w:shd w:fill="F8FAFC"/>
            <w:tcMar>
              <w:top w:w="35" w:type="dxa"/>
              <w:bottom w:w="35" w:type="dxa"/>
              <w:left w:w="60" w:type="dxa"/>
              <w:right w:w="60" w:type="dxa"/>
            </w:tcMar>
          </w:tcPr>
          <w:p>
            <w:r>
              <w:rPr>
                <w:rFonts w:ascii="Times New Roman" w:hAnsi="Times New Roman"/>
                <w:color w:val="1E293B"/>
                <w:sz w:val="16"/>
              </w:rPr>
              <w:t>Usability must be assessed with representative users; “zero training required” is not assumed.</w:t>
            </w:r>
          </w:p>
        </w:tc>
      </w:tr>
      <w:tr>
        <w:tc>
          <w:tcPr>
            <w:tcW w:type="dxa" w:w="3120"/>
            <w:shd w:fill="FFFFFF"/>
            <w:tcMar>
              <w:top w:w="35" w:type="dxa"/>
              <w:bottom w:w="35" w:type="dxa"/>
              <w:left w:w="60" w:type="dxa"/>
              <w:right w:w="60" w:type="dxa"/>
            </w:tcMar>
          </w:tcPr>
          <w:p>
            <w:r>
              <w:rPr>
                <w:rFonts w:ascii="Times New Roman" w:hAnsi="Times New Roman"/>
                <w:color w:val="1E293B"/>
                <w:sz w:val="16"/>
              </w:rPr>
              <w:t>Ethical / legal</w:t>
            </w:r>
          </w:p>
        </w:tc>
        <w:tc>
          <w:tcPr>
            <w:tcW w:type="dxa" w:w="3120"/>
            <w:shd w:fill="FFFFFF"/>
            <w:tcMar>
              <w:top w:w="35" w:type="dxa"/>
              <w:bottom w:w="35" w:type="dxa"/>
              <w:left w:w="60" w:type="dxa"/>
              <w:right w:w="60" w:type="dxa"/>
            </w:tcMar>
          </w:tcPr>
          <w:p>
            <w:r>
              <w:rPr>
                <w:rFonts w:ascii="Times New Roman" w:hAnsi="Times New Roman"/>
                <w:color w:val="1E293B"/>
                <w:sz w:val="16"/>
              </w:rPr>
              <w:t>Consent, role separation, minimal collection, and non-diagnostic limits are design requirements.</w:t>
            </w:r>
          </w:p>
        </w:tc>
        <w:tc>
          <w:tcPr>
            <w:tcW w:type="dxa" w:w="3120"/>
            <w:shd w:fill="FFFFFF"/>
            <w:tcMar>
              <w:top w:w="35" w:type="dxa"/>
              <w:bottom w:w="35" w:type="dxa"/>
              <w:left w:w="60" w:type="dxa"/>
              <w:right w:w="60" w:type="dxa"/>
            </w:tcMar>
          </w:tcPr>
          <w:p>
            <w:r>
              <w:rPr>
                <w:rFonts w:ascii="Times New Roman" w:hAnsi="Times New Roman"/>
                <w:color w:val="1E293B"/>
                <w:sz w:val="16"/>
              </w:rPr>
              <w:t>Review applicable Indian data-protection requirements, accessibility, consent materials, retention, and any research-ethics needs before user testing.</w:t>
            </w:r>
          </w:p>
        </w:tc>
      </w:tr>
    </w:tbl>
    <w:p>
      <w:r>
        <w:br w:type="page"/>
      </w:r>
    </w:p>
    <w:p>
      <w:pPr>
        <w:spacing w:before="120" w:after="40" w:line="276" w:lineRule="auto"/>
        <w:jc w:val="left"/>
      </w:pPr>
      <w:r>
        <w:rPr>
          <w:rFonts w:ascii="Times New Roman" w:hAnsi="Times New Roman"/>
          <w:b/>
          <w:color w:val="0D6E85"/>
          <w:sz w:val="22"/>
        </w:rPr>
        <w:t>6.2 Risk Register</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0F2C59"/>
            <w:tcMar>
              <w:top w:w="45" w:type="dxa"/>
              <w:bottom w:w="45" w:type="dxa"/>
              <w:left w:w="60" w:type="dxa"/>
              <w:right w:w="60" w:type="dxa"/>
            </w:tcMar>
          </w:tcPr>
          <w:p>
            <w:r>
              <w:rPr>
                <w:rFonts w:ascii="Times New Roman" w:hAnsi="Times New Roman"/>
                <w:b/>
                <w:color w:val="FFFFFF"/>
                <w:sz w:val="17"/>
              </w:rPr>
              <w:t>Risk</w:t>
            </w:r>
          </w:p>
        </w:tc>
        <w:tc>
          <w:tcPr>
            <w:tcW w:type="dxa" w:w="2340"/>
            <w:shd w:fill="0F2C59"/>
            <w:tcMar>
              <w:top w:w="45" w:type="dxa"/>
              <w:bottom w:w="45" w:type="dxa"/>
              <w:left w:w="60" w:type="dxa"/>
              <w:right w:w="60" w:type="dxa"/>
            </w:tcMar>
          </w:tcPr>
          <w:p>
            <w:r>
              <w:rPr>
                <w:rFonts w:ascii="Times New Roman" w:hAnsi="Times New Roman"/>
                <w:b/>
                <w:color w:val="FFFFFF"/>
                <w:sz w:val="17"/>
              </w:rPr>
              <w:t>Impact</w:t>
            </w:r>
          </w:p>
        </w:tc>
        <w:tc>
          <w:tcPr>
            <w:tcW w:type="dxa" w:w="2340"/>
            <w:shd w:fill="0F2C59"/>
            <w:tcMar>
              <w:top w:w="45" w:type="dxa"/>
              <w:bottom w:w="45" w:type="dxa"/>
              <w:left w:w="60" w:type="dxa"/>
              <w:right w:w="60" w:type="dxa"/>
            </w:tcMar>
          </w:tcPr>
          <w:p>
            <w:r>
              <w:rPr>
                <w:rFonts w:ascii="Times New Roman" w:hAnsi="Times New Roman"/>
                <w:b/>
                <w:color w:val="FFFFFF"/>
                <w:sz w:val="17"/>
              </w:rPr>
              <w:t>Likelihood</w:t>
            </w:r>
          </w:p>
        </w:tc>
        <w:tc>
          <w:tcPr>
            <w:tcW w:type="dxa" w:w="2340"/>
            <w:shd w:fill="0F2C59"/>
            <w:tcMar>
              <w:top w:w="45" w:type="dxa"/>
              <w:bottom w:w="45" w:type="dxa"/>
              <w:left w:w="60" w:type="dxa"/>
              <w:right w:w="60" w:type="dxa"/>
            </w:tcMar>
          </w:tcPr>
          <w:p>
            <w:r>
              <w:rPr>
                <w:rFonts w:ascii="Times New Roman" w:hAnsi="Times New Roman"/>
                <w:b/>
                <w:color w:val="FFFFFF"/>
                <w:sz w:val="17"/>
              </w:rPr>
              <w:t>Mitigation</w:t>
            </w:r>
          </w:p>
        </w:tc>
      </w:tr>
      <w:tr>
        <w:tc>
          <w:tcPr>
            <w:tcW w:type="dxa" w:w="2340"/>
            <w:shd w:fill="F8FAFC"/>
            <w:tcMar>
              <w:top w:w="35" w:type="dxa"/>
              <w:bottom w:w="35" w:type="dxa"/>
              <w:left w:w="60" w:type="dxa"/>
              <w:right w:w="60" w:type="dxa"/>
            </w:tcMar>
          </w:tcPr>
          <w:p>
            <w:r>
              <w:rPr>
                <w:rFonts w:ascii="Times New Roman" w:hAnsi="Times New Roman"/>
                <w:color w:val="1E293B"/>
                <w:sz w:val="16"/>
              </w:rPr>
              <w:t>Missed/duplicate reminders</w:t>
            </w:r>
          </w:p>
        </w:tc>
        <w:tc>
          <w:tcPr>
            <w:tcW w:type="dxa" w:w="2340"/>
            <w:shd w:fill="F8FAFC"/>
            <w:tcMar>
              <w:top w:w="35" w:type="dxa"/>
              <w:bottom w:w="35" w:type="dxa"/>
              <w:left w:w="60" w:type="dxa"/>
              <w:right w:w="60" w:type="dxa"/>
            </w:tcMar>
          </w:tcPr>
          <w:p>
            <w:r>
              <w:rPr>
                <w:rFonts w:ascii="Times New Roman" w:hAnsi="Times New Roman"/>
                <w:b/>
                <w:color w:val="991B1B"/>
                <w:sz w:val="16"/>
              </w:rPr>
              <w:t>High</w:t>
            </w:r>
          </w:p>
        </w:tc>
        <w:tc>
          <w:tcPr>
            <w:tcW w:type="dxa" w:w="2340"/>
            <w:shd w:fill="F8FAFC"/>
            <w:tcMar>
              <w:top w:w="35" w:type="dxa"/>
              <w:bottom w:w="35" w:type="dxa"/>
              <w:left w:w="60" w:type="dxa"/>
              <w:right w:w="60" w:type="dxa"/>
            </w:tcMar>
          </w:tcPr>
          <w:p>
            <w:r>
              <w:rPr>
                <w:rFonts w:ascii="Times New Roman" w:hAnsi="Times New Roman"/>
                <w:color w:val="1E293B"/>
                <w:sz w:val="16"/>
              </w:rPr>
              <w:t>Medium</w:t>
            </w:r>
          </w:p>
        </w:tc>
        <w:tc>
          <w:tcPr>
            <w:tcW w:type="dxa" w:w="2340"/>
            <w:shd w:fill="F8FAFC"/>
            <w:tcMar>
              <w:top w:w="35" w:type="dxa"/>
              <w:bottom w:w="35" w:type="dxa"/>
              <w:left w:w="60" w:type="dxa"/>
              <w:right w:w="60" w:type="dxa"/>
            </w:tcMar>
          </w:tcPr>
          <w:p>
            <w:r>
              <w:rPr>
                <w:rFonts w:ascii="Times New Roman" w:hAnsi="Times New Roman"/>
                <w:color w:val="1E293B"/>
                <w:sz w:val="16"/>
              </w:rPr>
              <w:t>Use deterministic transitions, idempotency keys, scheduler monitoring, deadline tests, and event logs.</w:t>
            </w:r>
          </w:p>
        </w:tc>
      </w:tr>
      <w:tr>
        <w:tc>
          <w:tcPr>
            <w:tcW w:type="dxa" w:w="2340"/>
            <w:shd w:fill="FFFFFF"/>
            <w:tcMar>
              <w:top w:w="35" w:type="dxa"/>
              <w:bottom w:w="35" w:type="dxa"/>
              <w:left w:w="60" w:type="dxa"/>
              <w:right w:w="60" w:type="dxa"/>
            </w:tcMar>
          </w:tcPr>
          <w:p>
            <w:r>
              <w:rPr>
                <w:rFonts w:ascii="Times New Roman" w:hAnsi="Times New Roman"/>
                <w:color w:val="1E293B"/>
                <w:sz w:val="16"/>
              </w:rPr>
              <w:t>AI gives medical or misleading advice</w:t>
            </w:r>
          </w:p>
        </w:tc>
        <w:tc>
          <w:tcPr>
            <w:tcW w:type="dxa" w:w="2340"/>
            <w:shd w:fill="FFFFFF"/>
            <w:tcMar>
              <w:top w:w="35" w:type="dxa"/>
              <w:bottom w:w="35" w:type="dxa"/>
              <w:left w:w="60" w:type="dxa"/>
              <w:right w:w="60" w:type="dxa"/>
            </w:tcMar>
          </w:tcPr>
          <w:p>
            <w:r>
              <w:rPr>
                <w:rFonts w:ascii="Times New Roman" w:hAnsi="Times New Roman"/>
                <w:b/>
                <w:color w:val="991B1B"/>
                <w:sz w:val="16"/>
              </w:rPr>
              <w:t>High</w:t>
            </w:r>
          </w:p>
        </w:tc>
        <w:tc>
          <w:tcPr>
            <w:tcW w:type="dxa" w:w="2340"/>
            <w:shd w:fill="FFFFFF"/>
            <w:tcMar>
              <w:top w:w="35" w:type="dxa"/>
              <w:bottom w:w="35" w:type="dxa"/>
              <w:left w:w="60" w:type="dxa"/>
              <w:right w:w="60" w:type="dxa"/>
            </w:tcMar>
          </w:tcPr>
          <w:p>
            <w:r>
              <w:rPr>
                <w:rFonts w:ascii="Times New Roman" w:hAnsi="Times New Roman"/>
                <w:color w:val="1E293B"/>
                <w:sz w:val="16"/>
              </w:rPr>
              <w:t>Medium</w:t>
            </w:r>
          </w:p>
        </w:tc>
        <w:tc>
          <w:tcPr>
            <w:tcW w:type="dxa" w:w="2340"/>
            <w:shd w:fill="FFFFFF"/>
            <w:tcMar>
              <w:top w:w="35" w:type="dxa"/>
              <w:bottom w:w="35" w:type="dxa"/>
              <w:left w:w="60" w:type="dxa"/>
              <w:right w:w="60" w:type="dxa"/>
            </w:tcMar>
          </w:tcPr>
          <w:p>
            <w:r>
              <w:rPr>
                <w:rFonts w:ascii="Times New Roman" w:hAnsi="Times New Roman"/>
                <w:color w:val="1E293B"/>
                <w:sz w:val="16"/>
              </w:rPr>
              <w:t>Constrain scope, block diagnosis/dosage changes, minimize sent context, test adversarial prompts, and provide safe escalation language.</w:t>
            </w:r>
          </w:p>
        </w:tc>
      </w:tr>
      <w:tr>
        <w:tc>
          <w:tcPr>
            <w:tcW w:type="dxa" w:w="2340"/>
            <w:shd w:fill="F8FAFC"/>
            <w:tcMar>
              <w:top w:w="35" w:type="dxa"/>
              <w:bottom w:w="35" w:type="dxa"/>
              <w:left w:w="60" w:type="dxa"/>
              <w:right w:w="60" w:type="dxa"/>
            </w:tcMar>
          </w:tcPr>
          <w:p>
            <w:r>
              <w:rPr>
                <w:rFonts w:ascii="Times New Roman" w:hAnsi="Times New Roman"/>
                <w:color w:val="1E293B"/>
                <w:sz w:val="16"/>
              </w:rPr>
              <w:t>Caregiver gets access without valid consent</w:t>
            </w:r>
          </w:p>
        </w:tc>
        <w:tc>
          <w:tcPr>
            <w:tcW w:type="dxa" w:w="2340"/>
            <w:shd w:fill="F8FAFC"/>
            <w:tcMar>
              <w:top w:w="35" w:type="dxa"/>
              <w:bottom w:w="35" w:type="dxa"/>
              <w:left w:w="60" w:type="dxa"/>
              <w:right w:w="60" w:type="dxa"/>
            </w:tcMar>
          </w:tcPr>
          <w:p>
            <w:r>
              <w:rPr>
                <w:rFonts w:ascii="Times New Roman" w:hAnsi="Times New Roman"/>
                <w:b/>
                <w:color w:val="991B1B"/>
                <w:sz w:val="16"/>
              </w:rPr>
              <w:t>High</w:t>
            </w:r>
          </w:p>
        </w:tc>
        <w:tc>
          <w:tcPr>
            <w:tcW w:type="dxa" w:w="2340"/>
            <w:shd w:fill="F8FAFC"/>
            <w:tcMar>
              <w:top w:w="35" w:type="dxa"/>
              <w:bottom w:w="35" w:type="dxa"/>
              <w:left w:w="60" w:type="dxa"/>
              <w:right w:w="60" w:type="dxa"/>
            </w:tcMar>
          </w:tcPr>
          <w:p>
            <w:r>
              <w:rPr>
                <w:rFonts w:ascii="Times New Roman" w:hAnsi="Times New Roman"/>
                <w:color w:val="1E293B"/>
                <w:sz w:val="16"/>
              </w:rPr>
              <w:t>Low–Medium</w:t>
            </w:r>
          </w:p>
        </w:tc>
        <w:tc>
          <w:tcPr>
            <w:tcW w:type="dxa" w:w="2340"/>
            <w:shd w:fill="F8FAFC"/>
            <w:tcMar>
              <w:top w:w="35" w:type="dxa"/>
              <w:bottom w:w="35" w:type="dxa"/>
              <w:left w:w="60" w:type="dxa"/>
              <w:right w:w="60" w:type="dxa"/>
            </w:tcMar>
          </w:tcPr>
          <w:p>
            <w:r>
              <w:rPr>
                <w:rFonts w:ascii="Times New Roman" w:hAnsi="Times New Roman"/>
                <w:color w:val="1E293B"/>
                <w:sz w:val="16"/>
              </w:rPr>
              <w:t>Expiring invitation tokens, explicit permission selection, server-side authorization on every request, and revocation tests.</w:t>
            </w:r>
          </w:p>
        </w:tc>
      </w:tr>
      <w:tr>
        <w:tc>
          <w:tcPr>
            <w:tcW w:type="dxa" w:w="2340"/>
            <w:shd w:fill="FFFFFF"/>
            <w:tcMar>
              <w:top w:w="35" w:type="dxa"/>
              <w:bottom w:w="35" w:type="dxa"/>
              <w:left w:w="60" w:type="dxa"/>
              <w:right w:w="60" w:type="dxa"/>
            </w:tcMar>
          </w:tcPr>
          <w:p>
            <w:r>
              <w:rPr>
                <w:rFonts w:ascii="Times New Roman" w:hAnsi="Times New Roman"/>
                <w:color w:val="1E293B"/>
                <w:sz w:val="16"/>
              </w:rPr>
              <w:t>Network outage hides alert delivery status</w:t>
            </w:r>
          </w:p>
        </w:tc>
        <w:tc>
          <w:tcPr>
            <w:tcW w:type="dxa" w:w="2340"/>
            <w:shd w:fill="FFFFFF"/>
            <w:tcMar>
              <w:top w:w="35" w:type="dxa"/>
              <w:bottom w:w="35" w:type="dxa"/>
              <w:left w:w="60" w:type="dxa"/>
              <w:right w:w="60" w:type="dxa"/>
            </w:tcMar>
          </w:tcPr>
          <w:p>
            <w:r>
              <w:rPr>
                <w:rFonts w:ascii="Times New Roman" w:hAnsi="Times New Roman"/>
                <w:b/>
                <w:color w:val="991B1B"/>
                <w:sz w:val="16"/>
              </w:rPr>
              <w:t>High</w:t>
            </w:r>
          </w:p>
        </w:tc>
        <w:tc>
          <w:tcPr>
            <w:tcW w:type="dxa" w:w="2340"/>
            <w:shd w:fill="FFFFFF"/>
            <w:tcMar>
              <w:top w:w="35" w:type="dxa"/>
              <w:bottom w:w="35" w:type="dxa"/>
              <w:left w:w="60" w:type="dxa"/>
              <w:right w:w="60" w:type="dxa"/>
            </w:tcMar>
          </w:tcPr>
          <w:p>
            <w:r>
              <w:rPr>
                <w:rFonts w:ascii="Times New Roman" w:hAnsi="Times New Roman"/>
                <w:color w:val="1E293B"/>
                <w:sz w:val="16"/>
              </w:rPr>
              <w:t>Medium</w:t>
            </w:r>
          </w:p>
        </w:tc>
        <w:tc>
          <w:tcPr>
            <w:tcW w:type="dxa" w:w="2340"/>
            <w:shd w:fill="FFFFFF"/>
            <w:tcMar>
              <w:top w:w="35" w:type="dxa"/>
              <w:bottom w:w="35" w:type="dxa"/>
              <w:left w:w="60" w:type="dxa"/>
              <w:right w:w="60" w:type="dxa"/>
            </w:tcMar>
          </w:tcPr>
          <w:p>
            <w:r>
              <w:rPr>
                <w:rFonts w:ascii="Times New Roman" w:hAnsi="Times New Roman"/>
                <w:color w:val="1E293B"/>
                <w:sz w:val="16"/>
              </w:rPr>
              <w:t>Distinguish queued/sent/delivered/unknown where supported; show offline state and never promise remote delivery without confirmation.</w:t>
            </w:r>
          </w:p>
        </w:tc>
      </w:tr>
      <w:tr>
        <w:tc>
          <w:tcPr>
            <w:tcW w:type="dxa" w:w="2340"/>
            <w:shd w:fill="F8FAFC"/>
            <w:tcMar>
              <w:top w:w="35" w:type="dxa"/>
              <w:bottom w:w="35" w:type="dxa"/>
              <w:left w:w="60" w:type="dxa"/>
              <w:right w:w="60" w:type="dxa"/>
            </w:tcMar>
          </w:tcPr>
          <w:p>
            <w:r>
              <w:rPr>
                <w:rFonts w:ascii="Times New Roman" w:hAnsi="Times New Roman"/>
                <w:color w:val="1E293B"/>
                <w:sz w:val="16"/>
              </w:rPr>
              <w:t>Scores are interpreted as diagnosis</w:t>
            </w:r>
          </w:p>
        </w:tc>
        <w:tc>
          <w:tcPr>
            <w:tcW w:type="dxa" w:w="2340"/>
            <w:shd w:fill="F8FAFC"/>
            <w:tcMar>
              <w:top w:w="35" w:type="dxa"/>
              <w:bottom w:w="35" w:type="dxa"/>
              <w:left w:w="60" w:type="dxa"/>
              <w:right w:w="60" w:type="dxa"/>
            </w:tcMar>
          </w:tcPr>
          <w:p>
            <w:r>
              <w:rPr>
                <w:rFonts w:ascii="Times New Roman" w:hAnsi="Times New Roman"/>
                <w:b/>
                <w:color w:val="991B1B"/>
                <w:sz w:val="16"/>
              </w:rPr>
              <w:t>High</w:t>
            </w:r>
          </w:p>
        </w:tc>
        <w:tc>
          <w:tcPr>
            <w:tcW w:type="dxa" w:w="2340"/>
            <w:shd w:fill="F8FAFC"/>
            <w:tcMar>
              <w:top w:w="35" w:type="dxa"/>
              <w:bottom w:w="35" w:type="dxa"/>
              <w:left w:w="60" w:type="dxa"/>
              <w:right w:w="60" w:type="dxa"/>
            </w:tcMar>
          </w:tcPr>
          <w:p>
            <w:r>
              <w:rPr>
                <w:rFonts w:ascii="Times New Roman" w:hAnsi="Times New Roman"/>
                <w:color w:val="1E293B"/>
                <w:sz w:val="16"/>
              </w:rPr>
              <w:t>Medium</w:t>
            </w:r>
          </w:p>
        </w:tc>
        <w:tc>
          <w:tcPr>
            <w:tcW w:type="dxa" w:w="2340"/>
            <w:shd w:fill="F8FAFC"/>
            <w:tcMar>
              <w:top w:w="35" w:type="dxa"/>
              <w:bottom w:w="35" w:type="dxa"/>
              <w:left w:w="60" w:type="dxa"/>
              <w:right w:w="60" w:type="dxa"/>
            </w:tcMar>
          </w:tcPr>
          <w:p>
            <w:r>
              <w:rPr>
                <w:rFonts w:ascii="Times New Roman" w:hAnsi="Times New Roman"/>
                <w:color w:val="1E293B"/>
                <w:sz w:val="16"/>
              </w:rPr>
              <w:t>Label results non-diagnostic, avoid clinical thresholds, contextualize trends, and prohibit AI-generated score interpretation as medical judgement.</w:t>
            </w:r>
          </w:p>
        </w:tc>
      </w:tr>
      <w:tr>
        <w:tc>
          <w:tcPr>
            <w:tcW w:type="dxa" w:w="2340"/>
            <w:shd w:fill="FFFFFF"/>
            <w:tcMar>
              <w:top w:w="35" w:type="dxa"/>
              <w:bottom w:w="35" w:type="dxa"/>
              <w:left w:w="60" w:type="dxa"/>
              <w:right w:w="60" w:type="dxa"/>
            </w:tcMar>
          </w:tcPr>
          <w:p>
            <w:r>
              <w:rPr>
                <w:rFonts w:ascii="Times New Roman" w:hAnsi="Times New Roman"/>
                <w:color w:val="1E293B"/>
                <w:sz w:val="16"/>
              </w:rPr>
              <w:t>Accessibility needs are missed</w:t>
            </w:r>
          </w:p>
        </w:tc>
        <w:tc>
          <w:tcPr>
            <w:tcW w:type="dxa" w:w="2340"/>
            <w:shd w:fill="FFFFFF"/>
            <w:tcMar>
              <w:top w:w="35" w:type="dxa"/>
              <w:bottom w:w="35" w:type="dxa"/>
              <w:left w:w="60" w:type="dxa"/>
              <w:right w:w="60" w:type="dxa"/>
            </w:tcMar>
          </w:tcPr>
          <w:p>
            <w:r>
              <w:rPr>
                <w:rFonts w:ascii="Times New Roman" w:hAnsi="Times New Roman"/>
                <w:b/>
                <w:color w:val="991B1B"/>
                <w:sz w:val="16"/>
              </w:rPr>
              <w:t>Medium–High</w:t>
            </w:r>
          </w:p>
        </w:tc>
        <w:tc>
          <w:tcPr>
            <w:tcW w:type="dxa" w:w="2340"/>
            <w:shd w:fill="FFFFFF"/>
            <w:tcMar>
              <w:top w:w="35" w:type="dxa"/>
              <w:bottom w:w="35" w:type="dxa"/>
              <w:left w:w="60" w:type="dxa"/>
              <w:right w:w="60" w:type="dxa"/>
            </w:tcMar>
          </w:tcPr>
          <w:p>
            <w:r>
              <w:rPr>
                <w:rFonts w:ascii="Times New Roman" w:hAnsi="Times New Roman"/>
                <w:color w:val="1E293B"/>
                <w:sz w:val="16"/>
              </w:rPr>
              <w:t>Medium</w:t>
            </w:r>
          </w:p>
        </w:tc>
        <w:tc>
          <w:tcPr>
            <w:tcW w:type="dxa" w:w="2340"/>
            <w:shd w:fill="FFFFFF"/>
            <w:tcMar>
              <w:top w:w="35" w:type="dxa"/>
              <w:bottom w:w="35" w:type="dxa"/>
              <w:left w:w="60" w:type="dxa"/>
              <w:right w:w="60" w:type="dxa"/>
            </w:tcMar>
          </w:tcPr>
          <w:p>
            <w:r>
              <w:rPr>
                <w:rFonts w:ascii="Times New Roman" w:hAnsi="Times New Roman"/>
                <w:color w:val="1E293B"/>
                <w:sz w:val="16"/>
              </w:rPr>
              <w:t>Use WCAG 2.2 AA review, keyboard/screen-reader testing, text scaling, and formative usability tests.</w:t>
            </w:r>
          </w:p>
        </w:tc>
      </w:tr>
      <w:tr>
        <w:tc>
          <w:tcPr>
            <w:tcW w:type="dxa" w:w="2340"/>
            <w:shd w:fill="F8FAFC"/>
            <w:tcMar>
              <w:top w:w="35" w:type="dxa"/>
              <w:bottom w:w="35" w:type="dxa"/>
              <w:left w:w="60" w:type="dxa"/>
              <w:right w:w="60" w:type="dxa"/>
            </w:tcMar>
          </w:tcPr>
          <w:p>
            <w:r>
              <w:rPr>
                <w:rFonts w:ascii="Times New Roman" w:hAnsi="Times New Roman"/>
                <w:color w:val="1E293B"/>
                <w:sz w:val="16"/>
              </w:rPr>
              <w:t>Personal data exposure</w:t>
            </w:r>
          </w:p>
        </w:tc>
        <w:tc>
          <w:tcPr>
            <w:tcW w:type="dxa" w:w="2340"/>
            <w:shd w:fill="F8FAFC"/>
            <w:tcMar>
              <w:top w:w="35" w:type="dxa"/>
              <w:bottom w:w="35" w:type="dxa"/>
              <w:left w:w="60" w:type="dxa"/>
              <w:right w:w="60" w:type="dxa"/>
            </w:tcMar>
          </w:tcPr>
          <w:p>
            <w:r>
              <w:rPr>
                <w:rFonts w:ascii="Times New Roman" w:hAnsi="Times New Roman"/>
                <w:b/>
                <w:color w:val="991B1B"/>
                <w:sz w:val="16"/>
              </w:rPr>
              <w:t>High</w:t>
            </w:r>
          </w:p>
        </w:tc>
        <w:tc>
          <w:tcPr>
            <w:tcW w:type="dxa" w:w="2340"/>
            <w:shd w:fill="F8FAFC"/>
            <w:tcMar>
              <w:top w:w="35" w:type="dxa"/>
              <w:bottom w:w="35" w:type="dxa"/>
              <w:left w:w="60" w:type="dxa"/>
              <w:right w:w="60" w:type="dxa"/>
            </w:tcMar>
          </w:tcPr>
          <w:p>
            <w:r>
              <w:rPr>
                <w:rFonts w:ascii="Times New Roman" w:hAnsi="Times New Roman"/>
                <w:color w:val="1E293B"/>
                <w:sz w:val="16"/>
              </w:rPr>
              <w:t>Medium</w:t>
            </w:r>
          </w:p>
        </w:tc>
        <w:tc>
          <w:tcPr>
            <w:tcW w:type="dxa" w:w="2340"/>
            <w:shd w:fill="F8FAFC"/>
            <w:tcMar>
              <w:top w:w="35" w:type="dxa"/>
              <w:bottom w:w="35" w:type="dxa"/>
              <w:left w:w="60" w:type="dxa"/>
              <w:right w:w="60" w:type="dxa"/>
            </w:tcMar>
          </w:tcPr>
          <w:p>
            <w:r>
              <w:rPr>
                <w:rFonts w:ascii="Times New Roman" w:hAnsi="Times New Roman"/>
                <w:color w:val="1E293B"/>
                <w:sz w:val="16"/>
              </w:rPr>
              <w:t>Minimize retention, secure sessions, validate authorization, avoid secrets in logs, define deletion, and test data isolation.</w:t>
            </w:r>
          </w:p>
        </w:tc>
      </w:tr>
      <w:tr>
        <w:tc>
          <w:tcPr>
            <w:tcW w:type="dxa" w:w="2340"/>
            <w:shd w:fill="FFFFFF"/>
            <w:tcMar>
              <w:top w:w="35" w:type="dxa"/>
              <w:bottom w:w="35" w:type="dxa"/>
              <w:left w:w="60" w:type="dxa"/>
              <w:right w:w="60" w:type="dxa"/>
            </w:tcMar>
          </w:tcPr>
          <w:p>
            <w:r>
              <w:rPr>
                <w:rFonts w:ascii="Times New Roman" w:hAnsi="Times New Roman"/>
                <w:color w:val="1E293B"/>
                <w:sz w:val="16"/>
              </w:rPr>
              <w:t>AI provider quota/model changes</w:t>
            </w:r>
          </w:p>
        </w:tc>
        <w:tc>
          <w:tcPr>
            <w:tcW w:type="dxa" w:w="2340"/>
            <w:shd w:fill="FFFFFF"/>
            <w:tcMar>
              <w:top w:w="35" w:type="dxa"/>
              <w:bottom w:w="35" w:type="dxa"/>
              <w:left w:w="60" w:type="dxa"/>
              <w:right w:w="60" w:type="dxa"/>
            </w:tcMar>
          </w:tcPr>
          <w:p>
            <w:r>
              <w:rPr>
                <w:rFonts w:ascii="Times New Roman" w:hAnsi="Times New Roman"/>
                <w:color w:val="1E293B"/>
                <w:sz w:val="16"/>
              </w:rPr>
              <w:t>Medium</w:t>
            </w:r>
          </w:p>
        </w:tc>
        <w:tc>
          <w:tcPr>
            <w:tcW w:type="dxa" w:w="2340"/>
            <w:shd w:fill="FFFFFF"/>
            <w:tcMar>
              <w:top w:w="35" w:type="dxa"/>
              <w:bottom w:w="35" w:type="dxa"/>
              <w:left w:w="60" w:type="dxa"/>
              <w:right w:w="60" w:type="dxa"/>
            </w:tcMar>
          </w:tcPr>
          <w:p>
            <w:r>
              <w:rPr>
                <w:rFonts w:ascii="Times New Roman" w:hAnsi="Times New Roman"/>
                <w:color w:val="1E293B"/>
                <w:sz w:val="16"/>
              </w:rPr>
              <w:t>Medium</w:t>
            </w:r>
          </w:p>
        </w:tc>
        <w:tc>
          <w:tcPr>
            <w:tcW w:type="dxa" w:w="2340"/>
            <w:shd w:fill="FFFFFF"/>
            <w:tcMar>
              <w:top w:w="35" w:type="dxa"/>
              <w:bottom w:w="35" w:type="dxa"/>
              <w:left w:w="60" w:type="dxa"/>
              <w:right w:w="60" w:type="dxa"/>
            </w:tcMar>
          </w:tcPr>
          <w:p>
            <w:r>
              <w:rPr>
                <w:rFonts w:ascii="Times New Roman" w:hAnsi="Times New Roman"/>
                <w:color w:val="1E293B"/>
                <w:sz w:val="16"/>
              </w:rPr>
              <w:t>Provider adapter, configurable model ID, quota/error handling, versioned tests, and rule-based fallback.</w:t>
            </w:r>
          </w:p>
        </w:tc>
      </w:tr>
      <w:tr>
        <w:tc>
          <w:tcPr>
            <w:tcW w:type="dxa" w:w="2340"/>
            <w:shd w:fill="F8FAFC"/>
            <w:tcMar>
              <w:top w:w="35" w:type="dxa"/>
              <w:bottom w:w="35" w:type="dxa"/>
              <w:left w:w="60" w:type="dxa"/>
              <w:right w:w="60" w:type="dxa"/>
            </w:tcMar>
          </w:tcPr>
          <w:p>
            <w:r>
              <w:rPr>
                <w:rFonts w:ascii="Times New Roman" w:hAnsi="Times New Roman"/>
                <w:color w:val="1E293B"/>
                <w:sz w:val="16"/>
              </w:rPr>
              <w:t>Offline synchronization conflict</w:t>
            </w:r>
          </w:p>
        </w:tc>
        <w:tc>
          <w:tcPr>
            <w:tcW w:type="dxa" w:w="2340"/>
            <w:shd w:fill="F8FAFC"/>
            <w:tcMar>
              <w:top w:w="35" w:type="dxa"/>
              <w:bottom w:w="35" w:type="dxa"/>
              <w:left w:w="60" w:type="dxa"/>
              <w:right w:w="60" w:type="dxa"/>
            </w:tcMar>
          </w:tcPr>
          <w:p>
            <w:r>
              <w:rPr>
                <w:rFonts w:ascii="Times New Roman" w:hAnsi="Times New Roman"/>
                <w:color w:val="1E293B"/>
                <w:sz w:val="16"/>
              </w:rPr>
              <w:t>Medium</w:t>
            </w:r>
          </w:p>
        </w:tc>
        <w:tc>
          <w:tcPr>
            <w:tcW w:type="dxa" w:w="2340"/>
            <w:shd w:fill="F8FAFC"/>
            <w:tcMar>
              <w:top w:w="35" w:type="dxa"/>
              <w:bottom w:w="35" w:type="dxa"/>
              <w:left w:w="60" w:type="dxa"/>
              <w:right w:w="60" w:type="dxa"/>
            </w:tcMar>
          </w:tcPr>
          <w:p>
            <w:r>
              <w:rPr>
                <w:rFonts w:ascii="Times New Roman" w:hAnsi="Times New Roman"/>
                <w:color w:val="1E293B"/>
                <w:sz w:val="16"/>
              </w:rPr>
              <w:t>Medium</w:t>
            </w:r>
          </w:p>
        </w:tc>
        <w:tc>
          <w:tcPr>
            <w:tcW w:type="dxa" w:w="2340"/>
            <w:shd w:fill="F8FAFC"/>
            <w:tcMar>
              <w:top w:w="35" w:type="dxa"/>
              <w:bottom w:w="35" w:type="dxa"/>
              <w:left w:w="60" w:type="dxa"/>
              <w:right w:w="60" w:type="dxa"/>
            </w:tcMar>
          </w:tcPr>
          <w:p>
            <w:r>
              <w:rPr>
                <w:rFonts w:ascii="Times New Roman" w:hAnsi="Times New Roman"/>
                <w:color w:val="1E293B"/>
                <w:sz w:val="16"/>
              </w:rPr>
              <w:t>Record event IDs/timestamps, use idempotent synchronization, define conflict rules, and display unsynchronized changes.</w:t>
            </w:r>
          </w:p>
        </w:tc>
      </w:tr>
      <w:tr>
        <w:tc>
          <w:tcPr>
            <w:tcW w:type="dxa" w:w="2340"/>
            <w:shd w:fill="FFFFFF"/>
            <w:tcMar>
              <w:top w:w="35" w:type="dxa"/>
              <w:bottom w:w="35" w:type="dxa"/>
              <w:left w:w="60" w:type="dxa"/>
              <w:right w:w="60" w:type="dxa"/>
            </w:tcMar>
          </w:tcPr>
          <w:p>
            <w:r>
              <w:rPr>
                <w:rFonts w:ascii="Times New Roman" w:hAnsi="Times New Roman"/>
                <w:color w:val="1E293B"/>
                <w:sz w:val="16"/>
              </w:rPr>
              <w:t>Project scope exceeds timeline</w:t>
            </w:r>
          </w:p>
        </w:tc>
        <w:tc>
          <w:tcPr>
            <w:tcW w:type="dxa" w:w="2340"/>
            <w:shd w:fill="FFFFFF"/>
            <w:tcMar>
              <w:top w:w="35" w:type="dxa"/>
              <w:bottom w:w="35" w:type="dxa"/>
              <w:left w:w="60" w:type="dxa"/>
              <w:right w:w="60" w:type="dxa"/>
            </w:tcMar>
          </w:tcPr>
          <w:p>
            <w:r>
              <w:rPr>
                <w:rFonts w:ascii="Times New Roman" w:hAnsi="Times New Roman"/>
                <w:color w:val="1E293B"/>
                <w:sz w:val="16"/>
              </w:rPr>
              <w:t>Medium</w:t>
            </w:r>
          </w:p>
        </w:tc>
        <w:tc>
          <w:tcPr>
            <w:tcW w:type="dxa" w:w="2340"/>
            <w:shd w:fill="FFFFFF"/>
            <w:tcMar>
              <w:top w:w="35" w:type="dxa"/>
              <w:bottom w:w="35" w:type="dxa"/>
              <w:left w:w="60" w:type="dxa"/>
              <w:right w:w="60" w:type="dxa"/>
            </w:tcMar>
          </w:tcPr>
          <w:p>
            <w:r>
              <w:rPr>
                <w:rFonts w:ascii="Times New Roman" w:hAnsi="Times New Roman"/>
                <w:color w:val="1E293B"/>
                <w:sz w:val="16"/>
              </w:rPr>
              <w:t>High</w:t>
            </w:r>
          </w:p>
        </w:tc>
        <w:tc>
          <w:tcPr>
            <w:tcW w:type="dxa" w:w="2340"/>
            <w:shd w:fill="FFFFFF"/>
            <w:tcMar>
              <w:top w:w="35" w:type="dxa"/>
              <w:bottom w:w="35" w:type="dxa"/>
              <w:left w:w="60" w:type="dxa"/>
              <w:right w:w="60" w:type="dxa"/>
            </w:tcMar>
          </w:tcPr>
          <w:p>
            <w:r>
              <w:rPr>
                <w:rFonts w:ascii="Times New Roman" w:hAnsi="Times New Roman"/>
                <w:color w:val="1E293B"/>
                <w:sz w:val="16"/>
              </w:rPr>
              <w:t>Deliver the core routine lifecycle first; make advanced trends and extended conversation optional after the safety-critical path works.</w:t>
            </w:r>
          </w:p>
        </w:tc>
      </w:tr>
    </w:tbl>
    <w:p>
      <w:r>
        <w:br w:type="page"/>
      </w:r>
    </w:p>
    <w:p>
      <w:pPr>
        <w:spacing w:before="120" w:after="40" w:line="276" w:lineRule="auto"/>
        <w:jc w:val="left"/>
      </w:pPr>
      <w:r>
        <w:rPr>
          <w:rFonts w:ascii="Times New Roman" w:hAnsi="Times New Roman"/>
          <w:b/>
          <w:color w:val="0D6E85"/>
          <w:sz w:val="22"/>
        </w:rPr>
        <w:t>6.3 Assumptions and Dependencies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The prototype will use synthetic or explicitly approved test data, not real patient records by default.</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Caregiver alert delivery depends on the configured notification channel and network connectivity; delivery guarantees are not assumed.</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Voice features depend on browser/device support and user permission; text interaction remains available as an alternative.</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Cloud AI model availability, latency, quotas, and pricing may change and must be checked near deployment.</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The capstone will not claim a regulated medical-device status, clinical validation, or legal certification.</w:t>
      </w:r>
    </w:p>
    <w:p>
      <w:pPr>
        <w:spacing w:before="0" w:after="80" w:line="283" w:lineRule="auto"/>
        <w:jc w:val="left"/>
      </w:pPr>
    </w:p>
    <w:p>
      <w:pPr>
        <w:spacing w:before="160" w:after="60" w:line="276" w:lineRule="auto"/>
        <w:jc w:val="left"/>
      </w:pPr>
      <w:r>
        <w:rPr>
          <w:rFonts w:ascii="Times New Roman" w:hAnsi="Times New Roman"/>
          <w:b/>
          <w:color w:val="0F2C59"/>
          <w:sz w:val="26"/>
        </w:rPr>
        <w:t>7. Verification and Evaluation Plan</w:t>
      </w:r>
    </w:p>
    <w:p>
      <w:pPr>
        <w:spacing w:before="0" w:after="80" w:line="283" w:lineRule="auto"/>
        <w:jc w:val="left"/>
      </w:pPr>
      <w:r>
        <w:rPr>
          <w:rFonts w:ascii="Times New Roman" w:hAnsi="Times New Roman"/>
          <w:b w:val="0"/>
          <w:i w:val="0"/>
          <w:color w:val="1E293B"/>
          <w:sz w:val="20"/>
        </w:rPr>
        <w:t>Quality will be demonstrated by test evidence and documented acceptance criteria, not by an unsupported blanket statement that the system has “100% automated testing” or “100% coverage.” Each test result should name the code revision, environment, number of tests, failures, and coverage method where relevant.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45" w:type="dxa"/>
              <w:bottom w:w="45" w:type="dxa"/>
              <w:left w:w="60" w:type="dxa"/>
              <w:right w:w="60" w:type="dxa"/>
            </w:tcMar>
          </w:tcPr>
          <w:p>
            <w:r>
              <w:rPr>
                <w:rFonts w:ascii="Times New Roman" w:hAnsi="Times New Roman"/>
                <w:b/>
                <w:color w:val="FFFFFF"/>
                <w:sz w:val="17"/>
              </w:rPr>
              <w:t>Test area</w:t>
            </w:r>
          </w:p>
        </w:tc>
        <w:tc>
          <w:tcPr>
            <w:tcW w:type="dxa" w:w="3120"/>
            <w:shd w:fill="0F2C59"/>
            <w:tcMar>
              <w:top w:w="45" w:type="dxa"/>
              <w:bottom w:w="45" w:type="dxa"/>
              <w:left w:w="60" w:type="dxa"/>
              <w:right w:w="60" w:type="dxa"/>
            </w:tcMar>
          </w:tcPr>
          <w:p>
            <w:r>
              <w:rPr>
                <w:rFonts w:ascii="Times New Roman" w:hAnsi="Times New Roman"/>
                <w:b/>
                <w:color w:val="FFFFFF"/>
                <w:sz w:val="17"/>
              </w:rPr>
              <w:t>Planned checks</w:t>
            </w:r>
          </w:p>
        </w:tc>
        <w:tc>
          <w:tcPr>
            <w:tcW w:type="dxa" w:w="3120"/>
            <w:shd w:fill="0F2C59"/>
            <w:tcMar>
              <w:top w:w="45" w:type="dxa"/>
              <w:bottom w:w="45" w:type="dxa"/>
              <w:left w:w="60" w:type="dxa"/>
              <w:right w:w="60" w:type="dxa"/>
            </w:tcMar>
          </w:tcPr>
          <w:p>
            <w:r>
              <w:rPr>
                <w:rFonts w:ascii="Times New Roman" w:hAnsi="Times New Roman"/>
                <w:b/>
                <w:color w:val="FFFFFF"/>
                <w:sz w:val="17"/>
              </w:rPr>
              <w:t>Acceptance evidence</w:t>
            </w:r>
          </w:p>
        </w:tc>
      </w:tr>
      <w:tr>
        <w:tc>
          <w:tcPr>
            <w:tcW w:type="dxa" w:w="3120"/>
            <w:shd w:fill="F8FAFC"/>
            <w:tcMar>
              <w:top w:w="35" w:type="dxa"/>
              <w:bottom w:w="35" w:type="dxa"/>
              <w:left w:w="60" w:type="dxa"/>
              <w:right w:w="60" w:type="dxa"/>
            </w:tcMar>
          </w:tcPr>
          <w:p>
            <w:r>
              <w:rPr>
                <w:rFonts w:ascii="Times New Roman" w:hAnsi="Times New Roman"/>
                <w:color w:val="1E293B"/>
                <w:sz w:val="16"/>
              </w:rPr>
              <w:t>Unit tests</w:t>
            </w:r>
          </w:p>
        </w:tc>
        <w:tc>
          <w:tcPr>
            <w:tcW w:type="dxa" w:w="3120"/>
            <w:shd w:fill="F8FAFC"/>
            <w:tcMar>
              <w:top w:w="35" w:type="dxa"/>
              <w:bottom w:w="35" w:type="dxa"/>
              <w:left w:w="60" w:type="dxa"/>
              <w:right w:w="60" w:type="dxa"/>
            </w:tcMar>
          </w:tcPr>
          <w:p>
            <w:r>
              <w:rPr>
                <w:rFonts w:ascii="Times New Roman" w:hAnsi="Times New Roman"/>
                <w:color w:val="1E293B"/>
                <w:sz w:val="16"/>
              </w:rPr>
              <w:t>Reminder transition table, scheduling/time-zone rules, scoring formula, consent/token expiry, and authorization policy.</w:t>
            </w:r>
          </w:p>
        </w:tc>
        <w:tc>
          <w:tcPr>
            <w:tcW w:type="dxa" w:w="3120"/>
            <w:shd w:fill="F8FAFC"/>
            <w:tcMar>
              <w:top w:w="35" w:type="dxa"/>
              <w:bottom w:w="35" w:type="dxa"/>
              <w:left w:w="60" w:type="dxa"/>
              <w:right w:w="60" w:type="dxa"/>
            </w:tcMar>
          </w:tcPr>
          <w:p>
            <w:r>
              <w:rPr>
                <w:rFonts w:ascii="Times New Roman" w:hAnsi="Times New Roman"/>
                <w:color w:val="1E293B"/>
                <w:sz w:val="16"/>
              </w:rPr>
              <w:t>All defined state/edge cases have expected results; same inputs yield same scores.</w:t>
            </w:r>
          </w:p>
        </w:tc>
      </w:tr>
      <w:tr>
        <w:tc>
          <w:tcPr>
            <w:tcW w:type="dxa" w:w="3120"/>
            <w:shd w:fill="FFFFFF"/>
            <w:tcMar>
              <w:top w:w="35" w:type="dxa"/>
              <w:bottom w:w="35" w:type="dxa"/>
              <w:left w:w="60" w:type="dxa"/>
              <w:right w:w="60" w:type="dxa"/>
            </w:tcMar>
          </w:tcPr>
          <w:p>
            <w:r>
              <w:rPr>
                <w:rFonts w:ascii="Times New Roman" w:hAnsi="Times New Roman"/>
                <w:color w:val="1E293B"/>
                <w:sz w:val="16"/>
              </w:rPr>
              <w:t>API integration</w:t>
            </w:r>
          </w:p>
        </w:tc>
        <w:tc>
          <w:tcPr>
            <w:tcW w:type="dxa" w:w="3120"/>
            <w:shd w:fill="FFFFFF"/>
            <w:tcMar>
              <w:top w:w="35" w:type="dxa"/>
              <w:bottom w:w="35" w:type="dxa"/>
              <w:left w:w="60" w:type="dxa"/>
              <w:right w:w="60" w:type="dxa"/>
            </w:tcMar>
          </w:tcPr>
          <w:p>
            <w:r>
              <w:rPr>
                <w:rFonts w:ascii="Times New Roman" w:hAnsi="Times New Roman"/>
                <w:color w:val="1E293B"/>
                <w:sz w:val="16"/>
              </w:rPr>
              <w:t>Create routine, trigger reminder, acknowledge/snooze, expire into MISSED, generate alert, and retrieve caregiver view.</w:t>
            </w:r>
          </w:p>
        </w:tc>
        <w:tc>
          <w:tcPr>
            <w:tcW w:type="dxa" w:w="3120"/>
            <w:shd w:fill="FFFFFF"/>
            <w:tcMar>
              <w:top w:w="35" w:type="dxa"/>
              <w:bottom w:w="35" w:type="dxa"/>
              <w:left w:w="60" w:type="dxa"/>
              <w:right w:w="60" w:type="dxa"/>
            </w:tcMar>
          </w:tcPr>
          <w:p>
            <w:r>
              <w:rPr>
                <w:rFonts w:ascii="Times New Roman" w:hAnsi="Times New Roman"/>
                <w:color w:val="1E293B"/>
                <w:sz w:val="16"/>
              </w:rPr>
              <w:t>End-to-end API tests pass; transactions remain consistent under retries.</w:t>
            </w:r>
          </w:p>
        </w:tc>
      </w:tr>
      <w:tr>
        <w:tc>
          <w:tcPr>
            <w:tcW w:type="dxa" w:w="3120"/>
            <w:shd w:fill="F8FAFC"/>
            <w:tcMar>
              <w:top w:w="35" w:type="dxa"/>
              <w:bottom w:w="35" w:type="dxa"/>
              <w:left w:w="60" w:type="dxa"/>
              <w:right w:w="60" w:type="dxa"/>
            </w:tcMar>
          </w:tcPr>
          <w:p>
            <w:r>
              <w:rPr>
                <w:rFonts w:ascii="Times New Roman" w:hAnsi="Times New Roman"/>
                <w:color w:val="1E293B"/>
                <w:sz w:val="16"/>
              </w:rPr>
              <w:t>Security and privacy</w:t>
            </w:r>
          </w:p>
        </w:tc>
        <w:tc>
          <w:tcPr>
            <w:tcW w:type="dxa" w:w="3120"/>
            <w:shd w:fill="F8FAFC"/>
            <w:tcMar>
              <w:top w:w="35" w:type="dxa"/>
              <w:bottom w:w="35" w:type="dxa"/>
              <w:left w:w="60" w:type="dxa"/>
              <w:right w:w="60" w:type="dxa"/>
            </w:tcMar>
          </w:tcPr>
          <w:p>
            <w:r>
              <w:rPr>
                <w:rFonts w:ascii="Times New Roman" w:hAnsi="Times New Roman"/>
                <w:color w:val="1E293B"/>
                <w:sz w:val="16"/>
              </w:rPr>
              <w:t>Cross-user IDOR checks, role bypass, expired/revoked invitation, session handling, rate limits, validation, and log inspection.</w:t>
            </w:r>
          </w:p>
        </w:tc>
        <w:tc>
          <w:tcPr>
            <w:tcW w:type="dxa" w:w="3120"/>
            <w:shd w:fill="F8FAFC"/>
            <w:tcMar>
              <w:top w:w="35" w:type="dxa"/>
              <w:bottom w:w="35" w:type="dxa"/>
              <w:left w:w="60" w:type="dxa"/>
              <w:right w:w="60" w:type="dxa"/>
            </w:tcMar>
          </w:tcPr>
          <w:p>
            <w:r>
              <w:rPr>
                <w:rFonts w:ascii="Times New Roman" w:hAnsi="Times New Roman"/>
                <w:color w:val="1E293B"/>
                <w:sz w:val="16"/>
              </w:rPr>
              <w:t>Negative authorization tests fail closed; no secrets or unnecessary sensitive content appears in logs.</w:t>
            </w:r>
          </w:p>
        </w:tc>
      </w:tr>
      <w:tr>
        <w:tc>
          <w:tcPr>
            <w:tcW w:type="dxa" w:w="3120"/>
            <w:shd w:fill="FFFFFF"/>
            <w:tcMar>
              <w:top w:w="35" w:type="dxa"/>
              <w:bottom w:w="35" w:type="dxa"/>
              <w:left w:w="60" w:type="dxa"/>
              <w:right w:w="60" w:type="dxa"/>
            </w:tcMar>
          </w:tcPr>
          <w:p>
            <w:r>
              <w:rPr>
                <w:rFonts w:ascii="Times New Roman" w:hAnsi="Times New Roman"/>
                <w:color w:val="1E293B"/>
                <w:sz w:val="16"/>
              </w:rPr>
              <w:t>Accessibility</w:t>
            </w:r>
          </w:p>
        </w:tc>
        <w:tc>
          <w:tcPr>
            <w:tcW w:type="dxa" w:w="3120"/>
            <w:shd w:fill="FFFFFF"/>
            <w:tcMar>
              <w:top w:w="35" w:type="dxa"/>
              <w:bottom w:w="35" w:type="dxa"/>
              <w:left w:w="60" w:type="dxa"/>
              <w:right w:w="60" w:type="dxa"/>
            </w:tcMar>
          </w:tcPr>
          <w:p>
            <w:r>
              <w:rPr>
                <w:rFonts w:ascii="Times New Roman" w:hAnsi="Times New Roman"/>
                <w:color w:val="1E293B"/>
                <w:sz w:val="16"/>
              </w:rPr>
              <w:t>Automated WCAG checks plus keyboard-only, focus, text resize, contrast, screen-reader labels, error recovery, and target-size review.</w:t>
            </w:r>
          </w:p>
        </w:tc>
        <w:tc>
          <w:tcPr>
            <w:tcW w:type="dxa" w:w="3120"/>
            <w:shd w:fill="FFFFFF"/>
            <w:tcMar>
              <w:top w:w="35" w:type="dxa"/>
              <w:bottom w:w="35" w:type="dxa"/>
              <w:left w:w="60" w:type="dxa"/>
              <w:right w:w="60" w:type="dxa"/>
            </w:tcMar>
          </w:tcPr>
          <w:p>
            <w:r>
              <w:rPr>
                <w:rFonts w:ascii="Times New Roman" w:hAnsi="Times New Roman"/>
                <w:color w:val="1E293B"/>
                <w:sz w:val="16"/>
              </w:rPr>
              <w:t>Findings are recorded and high-impact blockers are fixed before user evaluation.</w:t>
            </w:r>
          </w:p>
        </w:tc>
      </w:tr>
      <w:tr>
        <w:tc>
          <w:tcPr>
            <w:tcW w:type="dxa" w:w="3120"/>
            <w:shd w:fill="F8FAFC"/>
            <w:tcMar>
              <w:top w:w="35" w:type="dxa"/>
              <w:bottom w:w="35" w:type="dxa"/>
              <w:left w:w="60" w:type="dxa"/>
              <w:right w:w="60" w:type="dxa"/>
            </w:tcMar>
          </w:tcPr>
          <w:p>
            <w:r>
              <w:rPr>
                <w:rFonts w:ascii="Times New Roman" w:hAnsi="Times New Roman"/>
                <w:color w:val="1E293B"/>
                <w:sz w:val="16"/>
              </w:rPr>
              <w:t>Performance</w:t>
            </w:r>
          </w:p>
        </w:tc>
        <w:tc>
          <w:tcPr>
            <w:tcW w:type="dxa" w:w="3120"/>
            <w:shd w:fill="F8FAFC"/>
            <w:tcMar>
              <w:top w:w="35" w:type="dxa"/>
              <w:bottom w:w="35" w:type="dxa"/>
              <w:left w:w="60" w:type="dxa"/>
              <w:right w:w="60" w:type="dxa"/>
            </w:tcMar>
          </w:tcPr>
          <w:p>
            <w:r>
              <w:rPr>
                <w:rFonts w:ascii="Times New Roman" w:hAnsi="Times New Roman"/>
                <w:color w:val="1E293B"/>
                <w:sz w:val="16"/>
              </w:rPr>
              <w:t>Measure non-AI endpoint latency and local fallback latency under a documented test setup.</w:t>
            </w:r>
          </w:p>
        </w:tc>
        <w:tc>
          <w:tcPr>
            <w:tcW w:type="dxa" w:w="3120"/>
            <w:shd w:fill="F8FAFC"/>
            <w:tcMar>
              <w:top w:w="35" w:type="dxa"/>
              <w:bottom w:w="35" w:type="dxa"/>
              <w:left w:w="60" w:type="dxa"/>
              <w:right w:w="60" w:type="dxa"/>
            </w:tcMar>
          </w:tcPr>
          <w:p>
            <w:r>
              <w:rPr>
                <w:rFonts w:ascii="Times New Roman" w:hAnsi="Times New Roman"/>
                <w:color w:val="1E293B"/>
                <w:sz w:val="16"/>
              </w:rPr>
              <w:t>Report p50/p95 and environment; assess the 500 ms / 100 ms targets separately.</w:t>
            </w:r>
          </w:p>
        </w:tc>
      </w:tr>
      <w:tr>
        <w:tc>
          <w:tcPr>
            <w:tcW w:type="dxa" w:w="3120"/>
            <w:shd w:fill="FFFFFF"/>
            <w:tcMar>
              <w:top w:w="35" w:type="dxa"/>
              <w:bottom w:w="35" w:type="dxa"/>
              <w:left w:w="60" w:type="dxa"/>
              <w:right w:w="60" w:type="dxa"/>
            </w:tcMar>
          </w:tcPr>
          <w:p>
            <w:r>
              <w:rPr>
                <w:rFonts w:ascii="Times New Roman" w:hAnsi="Times New Roman"/>
                <w:color w:val="1E293B"/>
                <w:sz w:val="16"/>
              </w:rPr>
              <w:t>Offline and synchronization</w:t>
            </w:r>
          </w:p>
        </w:tc>
        <w:tc>
          <w:tcPr>
            <w:tcW w:type="dxa" w:w="3120"/>
            <w:shd w:fill="FFFFFF"/>
            <w:tcMar>
              <w:top w:w="35" w:type="dxa"/>
              <w:bottom w:w="35" w:type="dxa"/>
              <w:left w:w="60" w:type="dxa"/>
              <w:right w:w="60" w:type="dxa"/>
            </w:tcMar>
          </w:tcPr>
          <w:p>
            <w:r>
              <w:rPr>
                <w:rFonts w:ascii="Times New Roman" w:hAnsi="Times New Roman"/>
                <w:color w:val="1E293B"/>
                <w:sz w:val="16"/>
              </w:rPr>
              <w:t>Open cached routines, complete a supported activity, queue a permitted event, reconnect, and retry synchronization.</w:t>
            </w:r>
          </w:p>
        </w:tc>
        <w:tc>
          <w:tcPr>
            <w:tcW w:type="dxa" w:w="3120"/>
            <w:shd w:fill="FFFFFF"/>
            <w:tcMar>
              <w:top w:w="35" w:type="dxa"/>
              <w:bottom w:w="35" w:type="dxa"/>
              <w:left w:w="60" w:type="dxa"/>
              <w:right w:w="60" w:type="dxa"/>
            </w:tcMar>
          </w:tcPr>
          <w:p>
            <w:r>
              <w:rPr>
                <w:rFonts w:ascii="Times New Roman" w:hAnsi="Times New Roman"/>
                <w:color w:val="1E293B"/>
                <w:sz w:val="16"/>
              </w:rPr>
              <w:t>No duplicate event is created; unsynchronized status and conflicts are visible.</w:t>
            </w:r>
          </w:p>
        </w:tc>
      </w:tr>
      <w:tr>
        <w:tc>
          <w:tcPr>
            <w:tcW w:type="dxa" w:w="3120"/>
            <w:shd w:fill="F8FAFC"/>
            <w:tcMar>
              <w:top w:w="35" w:type="dxa"/>
              <w:bottom w:w="35" w:type="dxa"/>
              <w:left w:w="60" w:type="dxa"/>
              <w:right w:w="60" w:type="dxa"/>
            </w:tcMar>
          </w:tcPr>
          <w:p>
            <w:r>
              <w:rPr>
                <w:rFonts w:ascii="Times New Roman" w:hAnsi="Times New Roman"/>
                <w:color w:val="1E293B"/>
                <w:sz w:val="16"/>
              </w:rPr>
              <w:t>AI safety and provider failure</w:t>
            </w:r>
          </w:p>
        </w:tc>
        <w:tc>
          <w:tcPr>
            <w:tcW w:type="dxa" w:w="3120"/>
            <w:shd w:fill="F8FAFC"/>
            <w:tcMar>
              <w:top w:w="35" w:type="dxa"/>
              <w:bottom w:w="35" w:type="dxa"/>
              <w:left w:w="60" w:type="dxa"/>
              <w:right w:w="60" w:type="dxa"/>
            </w:tcMar>
          </w:tcPr>
          <w:p>
            <w:r>
              <w:rPr>
                <w:rFonts w:ascii="Times New Roman" w:hAnsi="Times New Roman"/>
                <w:color w:val="1E293B"/>
                <w:sz w:val="16"/>
              </w:rPr>
              <w:t>Test diagnosis/dosage requests, hallucination prompts, timeouts, quota errors, provider/model change, and fallback messaging.</w:t>
            </w:r>
          </w:p>
        </w:tc>
        <w:tc>
          <w:tcPr>
            <w:tcW w:type="dxa" w:w="3120"/>
            <w:shd w:fill="F8FAFC"/>
            <w:tcMar>
              <w:top w:w="35" w:type="dxa"/>
              <w:bottom w:w="35" w:type="dxa"/>
              <w:left w:w="60" w:type="dxa"/>
              <w:right w:w="60" w:type="dxa"/>
            </w:tcMar>
          </w:tcPr>
          <w:p>
            <w:r>
              <w:rPr>
                <w:rFonts w:ascii="Times New Roman" w:hAnsi="Times New Roman"/>
                <w:color w:val="1E293B"/>
                <w:sz w:val="16"/>
              </w:rPr>
              <w:t>Safety cases return safe constrained behavior; failure paths remain understandable to users.</w:t>
            </w:r>
          </w:p>
        </w:tc>
      </w:tr>
      <w:tr>
        <w:tc>
          <w:tcPr>
            <w:tcW w:type="dxa" w:w="3120"/>
            <w:shd w:fill="FFFFFF"/>
            <w:tcMar>
              <w:top w:w="35" w:type="dxa"/>
              <w:bottom w:w="35" w:type="dxa"/>
              <w:left w:w="60" w:type="dxa"/>
              <w:right w:w="60" w:type="dxa"/>
            </w:tcMar>
          </w:tcPr>
          <w:p>
            <w:r>
              <w:rPr>
                <w:rFonts w:ascii="Times New Roman" w:hAnsi="Times New Roman"/>
                <w:color w:val="1E293B"/>
                <w:sz w:val="16"/>
              </w:rPr>
              <w:t>Usability</w:t>
            </w:r>
          </w:p>
        </w:tc>
        <w:tc>
          <w:tcPr>
            <w:tcW w:type="dxa" w:w="3120"/>
            <w:shd w:fill="FFFFFF"/>
            <w:tcMar>
              <w:top w:w="35" w:type="dxa"/>
              <w:bottom w:w="35" w:type="dxa"/>
              <w:left w:w="60" w:type="dxa"/>
              <w:right w:w="60" w:type="dxa"/>
            </w:tcMar>
          </w:tcPr>
          <w:p>
            <w:r>
              <w:rPr>
                <w:rFonts w:ascii="Times New Roman" w:hAnsi="Times New Roman"/>
                <w:color w:val="1E293B"/>
                <w:sz w:val="16"/>
              </w:rPr>
              <w:t>Formative task-based evaluation of routine setup, acknowledgement, caregiver pairing, and understanding of status labels.</w:t>
            </w:r>
          </w:p>
        </w:tc>
        <w:tc>
          <w:tcPr>
            <w:tcW w:type="dxa" w:w="3120"/>
            <w:shd w:fill="FFFFFF"/>
            <w:tcMar>
              <w:top w:w="35" w:type="dxa"/>
              <w:bottom w:w="35" w:type="dxa"/>
              <w:left w:w="60" w:type="dxa"/>
              <w:right w:w="60" w:type="dxa"/>
            </w:tcMar>
          </w:tcPr>
          <w:p>
            <w:r>
              <w:rPr>
                <w:rFonts w:ascii="Times New Roman" w:hAnsi="Times New Roman"/>
                <w:color w:val="1E293B"/>
                <w:sz w:val="16"/>
              </w:rPr>
              <w:t>Document task completion, observed friction, feedback, and resulting design changes.</w:t>
            </w:r>
          </w:p>
        </w:tc>
      </w:tr>
    </w:tbl>
    <w:p>
      <w:r>
        <w:br w:type="page"/>
      </w:r>
    </w:p>
    <w:p>
      <w:pPr>
        <w:spacing w:before="120" w:after="40" w:line="276" w:lineRule="auto"/>
        <w:jc w:val="left"/>
      </w:pPr>
      <w:r>
        <w:rPr>
          <w:rFonts w:ascii="Times New Roman" w:hAnsi="Times New Roman"/>
          <w:b/>
          <w:color w:val="0D6E85"/>
          <w:sz w:val="22"/>
        </w:rPr>
        <w:t>7.1 Evaluation Safeguards</w:t>
      </w:r>
    </w:p>
    <w:p>
      <w:pPr>
        <w:spacing w:before="0" w:after="80" w:line="283" w:lineRule="auto"/>
        <w:jc w:val="left"/>
      </w:pPr>
      <w:r>
        <w:rPr>
          <w:rFonts w:ascii="Times New Roman" w:hAnsi="Times New Roman"/>
          <w:b w:val="0"/>
          <w:i w:val="0"/>
          <w:color w:val="1E293B"/>
          <w:sz w:val="20"/>
        </w:rPr>
        <w:t>Usability testing involving older adults should proceed only after faculty approval, informed consent, accessible study materials, and a clear process for stopping participation. Do not ask participants to rely on CogniCare for actual medication safety, emergency response, or clinical decisions. Early evaluation should focus on comprehension, navigation, accessibility, and task flow using a non-clinical scenario.</w:t>
      </w:r>
    </w:p>
    <w:p>
      <w:pPr>
        <w:spacing w:before="120" w:after="40" w:line="276" w:lineRule="auto"/>
        <w:jc w:val="left"/>
      </w:pPr>
      <w:r>
        <w:rPr>
          <w:rFonts w:ascii="Times New Roman" w:hAnsi="Times New Roman"/>
          <w:b/>
          <w:color w:val="0D6E85"/>
          <w:sz w:val="22"/>
        </w:rPr>
        <w:t>7.2 Metrics to Report</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Reminder correctness: expected versus actual state transitions across scheduled, snoozed, acknowledged, and missed scenarios.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Authorization correctness: successful and rejected access attempts across roles and consent states.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Latency: p50 and p95 for non-AI endpoints and local fallback responses, with environment stated.</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Accessibility: issues found, severity, remediation status, and manual checks completed against WCAG 2.2 AA.</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Usability: task completion, observed errors, time on task where appropriate, and qualitative feedback.</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AI safety: pass/fail outcomes for a predefined policy test set and behavior under provider errors.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Offline reliability: synchronization success, duplicate-event rate, and visibility of pending events after reconnect.</w:t>
      </w:r>
    </w:p>
    <w:p>
      <w:pPr>
        <w:spacing w:before="0" w:after="80" w:line="283" w:lineRule="auto"/>
        <w:jc w:val="left"/>
      </w:pPr>
    </w:p>
    <w:p>
      <w:pPr>
        <w:spacing w:before="160" w:after="60" w:line="276" w:lineRule="auto"/>
        <w:jc w:val="left"/>
      </w:pPr>
      <w:r>
        <w:rPr>
          <w:rFonts w:ascii="Times New Roman" w:hAnsi="Times New Roman"/>
          <w:b/>
          <w:color w:val="0F2C59"/>
          <w:sz w:val="26"/>
        </w:rPr>
        <w:t>8. Project Plan, Roles and Deliverables</w:t>
      </w:r>
    </w:p>
    <w:p>
      <w:pPr>
        <w:spacing w:before="120" w:after="40" w:line="276" w:lineRule="auto"/>
        <w:jc w:val="left"/>
      </w:pPr>
      <w:r>
        <w:rPr>
          <w:rFonts w:ascii="Times New Roman" w:hAnsi="Times New Roman"/>
          <w:b/>
          <w:color w:val="0D6E85"/>
          <w:sz w:val="22"/>
        </w:rPr>
        <w:t>8.1 Milestone Schedule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0F2C59"/>
            <w:tcMar>
              <w:top w:w="45" w:type="dxa"/>
              <w:bottom w:w="45" w:type="dxa"/>
              <w:left w:w="60" w:type="dxa"/>
              <w:right w:w="60" w:type="dxa"/>
            </w:tcMar>
          </w:tcPr>
          <w:p>
            <w:r>
              <w:rPr>
                <w:rFonts w:ascii="Times New Roman" w:hAnsi="Times New Roman"/>
                <w:b/>
                <w:color w:val="FFFFFF"/>
                <w:sz w:val="17"/>
              </w:rPr>
              <w:t>Milestone</w:t>
            </w:r>
          </w:p>
        </w:tc>
        <w:tc>
          <w:tcPr>
            <w:tcW w:type="dxa" w:w="2340"/>
            <w:shd w:fill="0F2C59"/>
            <w:tcMar>
              <w:top w:w="45" w:type="dxa"/>
              <w:bottom w:w="45" w:type="dxa"/>
              <w:left w:w="60" w:type="dxa"/>
              <w:right w:w="60" w:type="dxa"/>
            </w:tcMar>
          </w:tcPr>
          <w:p>
            <w:r>
              <w:rPr>
                <w:rFonts w:ascii="Times New Roman" w:hAnsi="Times New Roman"/>
                <w:b/>
                <w:color w:val="FFFFFF"/>
                <w:sz w:val="17"/>
              </w:rPr>
              <w:t>Target period</w:t>
            </w:r>
          </w:p>
        </w:tc>
        <w:tc>
          <w:tcPr>
            <w:tcW w:type="dxa" w:w="2340"/>
            <w:shd w:fill="0F2C59"/>
            <w:tcMar>
              <w:top w:w="45" w:type="dxa"/>
              <w:bottom w:w="45" w:type="dxa"/>
              <w:left w:w="60" w:type="dxa"/>
              <w:right w:w="60" w:type="dxa"/>
            </w:tcMar>
          </w:tcPr>
          <w:p>
            <w:r>
              <w:rPr>
                <w:rFonts w:ascii="Times New Roman" w:hAnsi="Times New Roman"/>
                <w:b/>
                <w:color w:val="FFFFFF"/>
                <w:sz w:val="17"/>
              </w:rPr>
              <w:t>Planned scope / output</w:t>
            </w:r>
          </w:p>
        </w:tc>
        <w:tc>
          <w:tcPr>
            <w:tcW w:type="dxa" w:w="2340"/>
            <w:shd w:fill="0F2C59"/>
            <w:tcMar>
              <w:top w:w="45" w:type="dxa"/>
              <w:bottom w:w="45" w:type="dxa"/>
              <w:left w:w="60" w:type="dxa"/>
              <w:right w:w="60" w:type="dxa"/>
            </w:tcMar>
          </w:tcPr>
          <w:p>
            <w:r>
              <w:rPr>
                <w:rFonts w:ascii="Times New Roman" w:hAnsi="Times New Roman"/>
                <w:b/>
                <w:color w:val="FFFFFF"/>
                <w:sz w:val="17"/>
              </w:rPr>
              <w:t>Status for this report</w:t>
            </w:r>
          </w:p>
        </w:tc>
      </w:tr>
      <w:tr>
        <w:tc>
          <w:tcPr>
            <w:tcW w:type="dxa" w:w="2340"/>
            <w:shd w:fill="F8FAFC"/>
            <w:tcMar>
              <w:top w:w="35" w:type="dxa"/>
              <w:bottom w:w="35" w:type="dxa"/>
              <w:left w:w="60" w:type="dxa"/>
              <w:right w:w="60" w:type="dxa"/>
            </w:tcMar>
          </w:tcPr>
          <w:p>
            <w:r>
              <w:rPr>
                <w:rFonts w:ascii="Times New Roman" w:hAnsi="Times New Roman"/>
                <w:color w:val="1E293B"/>
                <w:sz w:val="16"/>
              </w:rPr>
              <w:t>Milestone 0</w:t>
            </w:r>
          </w:p>
        </w:tc>
        <w:tc>
          <w:tcPr>
            <w:tcW w:type="dxa" w:w="2340"/>
            <w:shd w:fill="F8FAFC"/>
            <w:tcMar>
              <w:top w:w="35" w:type="dxa"/>
              <w:bottom w:w="35" w:type="dxa"/>
              <w:left w:w="60" w:type="dxa"/>
              <w:right w:w="60" w:type="dxa"/>
            </w:tcMar>
          </w:tcPr>
          <w:p>
            <w:r>
              <w:rPr>
                <w:rFonts w:ascii="Times New Roman" w:hAnsi="Times New Roman"/>
                <w:color w:val="1E293B"/>
                <w:sz w:val="16"/>
              </w:rPr>
              <w:t>August 2026</w:t>
            </w:r>
          </w:p>
        </w:tc>
        <w:tc>
          <w:tcPr>
            <w:tcW w:type="dxa" w:w="2340"/>
            <w:shd w:fill="F8FAFC"/>
            <w:tcMar>
              <w:top w:w="35" w:type="dxa"/>
              <w:bottom w:w="35" w:type="dxa"/>
              <w:left w:w="60" w:type="dxa"/>
              <w:right w:w="60" w:type="dxa"/>
            </w:tcMar>
          </w:tcPr>
          <w:p>
            <w:r>
              <w:rPr>
                <w:rFonts w:ascii="Times New Roman" w:hAnsi="Times New Roman"/>
                <w:color w:val="1E293B"/>
                <w:sz w:val="16"/>
              </w:rPr>
              <w:t>Problem selection, initial team charter, background exploration, and project scope.</w:t>
            </w:r>
          </w:p>
        </w:tc>
        <w:tc>
          <w:tcPr>
            <w:tcW w:type="dxa" w:w="2340"/>
            <w:shd w:fill="F8FAFC"/>
            <w:tcMar>
              <w:top w:w="35" w:type="dxa"/>
              <w:bottom w:w="35" w:type="dxa"/>
              <w:left w:w="60" w:type="dxa"/>
              <w:right w:w="60" w:type="dxa"/>
            </w:tcMar>
          </w:tcPr>
          <w:p>
            <w:r>
              <w:rPr>
                <w:rFonts w:ascii="Times New Roman" w:hAnsi="Times New Roman"/>
                <w:color w:val="1E293B"/>
                <w:sz w:val="16"/>
              </w:rPr>
              <w:t>Reported as completed by the team; supporting artefacts should be retained.</w:t>
            </w:r>
          </w:p>
        </w:tc>
      </w:tr>
      <w:tr>
        <w:tc>
          <w:tcPr>
            <w:tcW w:type="dxa" w:w="2340"/>
            <w:shd w:fill="FFFFFF"/>
            <w:tcMar>
              <w:top w:w="35" w:type="dxa"/>
              <w:bottom w:w="35" w:type="dxa"/>
              <w:left w:w="60" w:type="dxa"/>
              <w:right w:w="60" w:type="dxa"/>
            </w:tcMar>
          </w:tcPr>
          <w:p>
            <w:r>
              <w:rPr>
                <w:rFonts w:ascii="Times New Roman" w:hAnsi="Times New Roman"/>
                <w:color w:val="1E293B"/>
                <w:sz w:val="16"/>
              </w:rPr>
              <w:t>Milestone 1</w:t>
            </w:r>
          </w:p>
        </w:tc>
        <w:tc>
          <w:tcPr>
            <w:tcW w:type="dxa" w:w="2340"/>
            <w:shd w:fill="FFFFFF"/>
            <w:tcMar>
              <w:top w:w="35" w:type="dxa"/>
              <w:bottom w:w="35" w:type="dxa"/>
              <w:left w:w="60" w:type="dxa"/>
              <w:right w:w="60" w:type="dxa"/>
            </w:tcMar>
          </w:tcPr>
          <w:p>
            <w:r>
              <w:rPr>
                <w:rFonts w:ascii="Times New Roman" w:hAnsi="Times New Roman"/>
                <w:color w:val="1E293B"/>
                <w:sz w:val="16"/>
              </w:rPr>
              <w:t>October 2026</w:t>
            </w:r>
          </w:p>
        </w:tc>
        <w:tc>
          <w:tcPr>
            <w:tcW w:type="dxa" w:w="2340"/>
            <w:shd w:fill="FFFFFF"/>
            <w:tcMar>
              <w:top w:w="35" w:type="dxa"/>
              <w:bottom w:w="35" w:type="dxa"/>
              <w:left w:w="60" w:type="dxa"/>
              <w:right w:w="60" w:type="dxa"/>
            </w:tcMar>
          </w:tcPr>
          <w:p>
            <w:r>
              <w:rPr>
                <w:rFonts w:ascii="Times New Roman" w:hAnsi="Times New Roman"/>
                <w:color w:val="1E293B"/>
                <w:sz w:val="16"/>
              </w:rPr>
              <w:t>Proposal, requirements, feasibility, risk register, architecture, and presentation.</w:t>
            </w:r>
          </w:p>
        </w:tc>
        <w:tc>
          <w:tcPr>
            <w:tcW w:type="dxa" w:w="2340"/>
            <w:shd w:fill="FFFFFF"/>
            <w:tcMar>
              <w:top w:w="35" w:type="dxa"/>
              <w:bottom w:w="35" w:type="dxa"/>
              <w:left w:w="60" w:type="dxa"/>
              <w:right w:w="60" w:type="dxa"/>
            </w:tcMar>
          </w:tcPr>
          <w:p>
            <w:r>
              <w:rPr>
                <w:rFonts w:ascii="Times New Roman" w:hAnsi="Times New Roman"/>
                <w:color w:val="1E293B"/>
                <w:sz w:val="16"/>
              </w:rPr>
              <w:t>Current milestone; this document defines the proposal baseline.</w:t>
            </w:r>
          </w:p>
        </w:tc>
      </w:tr>
      <w:tr>
        <w:tc>
          <w:tcPr>
            <w:tcW w:type="dxa" w:w="2340"/>
            <w:shd w:fill="F8FAFC"/>
            <w:tcMar>
              <w:top w:w="35" w:type="dxa"/>
              <w:bottom w:w="35" w:type="dxa"/>
              <w:left w:w="60" w:type="dxa"/>
              <w:right w:w="60" w:type="dxa"/>
            </w:tcMar>
          </w:tcPr>
          <w:p>
            <w:r>
              <w:rPr>
                <w:rFonts w:ascii="Times New Roman" w:hAnsi="Times New Roman"/>
                <w:color w:val="1E293B"/>
                <w:sz w:val="16"/>
              </w:rPr>
              <w:t>Milestone 2</w:t>
            </w:r>
          </w:p>
        </w:tc>
        <w:tc>
          <w:tcPr>
            <w:tcW w:type="dxa" w:w="2340"/>
            <w:shd w:fill="F8FAFC"/>
            <w:tcMar>
              <w:top w:w="35" w:type="dxa"/>
              <w:bottom w:w="35" w:type="dxa"/>
              <w:left w:w="60" w:type="dxa"/>
              <w:right w:w="60" w:type="dxa"/>
            </w:tcMar>
          </w:tcPr>
          <w:p>
            <w:r>
              <w:rPr>
                <w:rFonts w:ascii="Times New Roman" w:hAnsi="Times New Roman"/>
                <w:color w:val="1E293B"/>
                <w:sz w:val="16"/>
              </w:rPr>
              <w:t>November 2026</w:t>
            </w:r>
          </w:p>
        </w:tc>
        <w:tc>
          <w:tcPr>
            <w:tcW w:type="dxa" w:w="2340"/>
            <w:shd w:fill="F8FAFC"/>
            <w:tcMar>
              <w:top w:w="35" w:type="dxa"/>
              <w:bottom w:w="35" w:type="dxa"/>
              <w:left w:w="60" w:type="dxa"/>
              <w:right w:w="60" w:type="dxa"/>
            </w:tcMar>
          </w:tcPr>
          <w:p>
            <w:r>
              <w:rPr>
                <w:rFonts w:ascii="Times New Roman" w:hAnsi="Times New Roman"/>
                <w:color w:val="1E293B"/>
                <w:sz w:val="16"/>
              </w:rPr>
              <w:t>Functional prototype of core routine workflow, caregiver pairing, activity catalogue, AI adapter, and initial test evidence.</w:t>
            </w:r>
          </w:p>
        </w:tc>
        <w:tc>
          <w:tcPr>
            <w:tcW w:type="dxa" w:w="2340"/>
            <w:shd w:fill="F8FAFC"/>
            <w:tcMar>
              <w:top w:w="35" w:type="dxa"/>
              <w:bottom w:w="35" w:type="dxa"/>
              <w:left w:w="60" w:type="dxa"/>
              <w:right w:w="60" w:type="dxa"/>
            </w:tcMar>
          </w:tcPr>
          <w:p>
            <w:r>
              <w:rPr>
                <w:rFonts w:ascii="Times New Roman" w:hAnsi="Times New Roman"/>
                <w:color w:val="1E293B"/>
                <w:sz w:val="16"/>
              </w:rPr>
              <w:t>Planned; do not claim complete until evidence exists.</w:t>
            </w:r>
          </w:p>
        </w:tc>
      </w:tr>
      <w:tr>
        <w:tc>
          <w:tcPr>
            <w:tcW w:type="dxa" w:w="2340"/>
            <w:shd w:fill="FFFFFF"/>
            <w:tcMar>
              <w:top w:w="35" w:type="dxa"/>
              <w:bottom w:w="35" w:type="dxa"/>
              <w:left w:w="60" w:type="dxa"/>
              <w:right w:w="60" w:type="dxa"/>
            </w:tcMar>
          </w:tcPr>
          <w:p>
            <w:r>
              <w:rPr>
                <w:rFonts w:ascii="Times New Roman" w:hAnsi="Times New Roman"/>
                <w:color w:val="1E293B"/>
                <w:sz w:val="16"/>
              </w:rPr>
              <w:t>Final evaluation</w:t>
            </w:r>
          </w:p>
        </w:tc>
        <w:tc>
          <w:tcPr>
            <w:tcW w:type="dxa" w:w="2340"/>
            <w:shd w:fill="FFFFFF"/>
            <w:tcMar>
              <w:top w:w="35" w:type="dxa"/>
              <w:bottom w:w="35" w:type="dxa"/>
              <w:left w:w="60" w:type="dxa"/>
              <w:right w:w="60" w:type="dxa"/>
            </w:tcMar>
          </w:tcPr>
          <w:p>
            <w:r>
              <w:rPr>
                <w:rFonts w:ascii="Times New Roman" w:hAnsi="Times New Roman"/>
                <w:color w:val="1E293B"/>
                <w:sz w:val="16"/>
              </w:rPr>
              <w:t>December 2026</w:t>
            </w:r>
          </w:p>
        </w:tc>
        <w:tc>
          <w:tcPr>
            <w:tcW w:type="dxa" w:w="2340"/>
            <w:shd w:fill="FFFFFF"/>
            <w:tcMar>
              <w:top w:w="35" w:type="dxa"/>
              <w:bottom w:w="35" w:type="dxa"/>
              <w:left w:w="60" w:type="dxa"/>
              <w:right w:w="60" w:type="dxa"/>
            </w:tcMar>
          </w:tcPr>
          <w:p>
            <w:r>
              <w:rPr>
                <w:rFonts w:ascii="Times New Roman" w:hAnsi="Times New Roman"/>
                <w:color w:val="1E293B"/>
                <w:sz w:val="16"/>
              </w:rPr>
              <w:t>Integrated demonstration, final report, evaluation findings, code and deployment documentation, technical viva.</w:t>
            </w:r>
          </w:p>
        </w:tc>
        <w:tc>
          <w:tcPr>
            <w:tcW w:type="dxa" w:w="2340"/>
            <w:shd w:fill="FFFFFF"/>
            <w:tcMar>
              <w:top w:w="35" w:type="dxa"/>
              <w:bottom w:w="35" w:type="dxa"/>
              <w:left w:w="60" w:type="dxa"/>
              <w:right w:w="60" w:type="dxa"/>
            </w:tcMar>
          </w:tcPr>
          <w:p>
            <w:r>
              <w:rPr>
                <w:rFonts w:ascii="Times New Roman" w:hAnsi="Times New Roman"/>
                <w:color w:val="1E293B"/>
                <w:sz w:val="16"/>
              </w:rPr>
              <w:t>Planned.</w:t>
            </w:r>
          </w:p>
        </w:tc>
      </w:tr>
    </w:tbl>
    <w:p>
      <w:pPr>
        <w:spacing w:before="0" w:after="80" w:line="283" w:lineRule="auto"/>
        <w:jc w:val="left"/>
      </w:pPr>
    </w:p>
    <w:p>
      <w:pPr>
        <w:spacing w:before="120" w:after="40" w:line="276" w:lineRule="auto"/>
        <w:jc w:val="left"/>
      </w:pPr>
      <w:r>
        <w:rPr>
          <w:rFonts w:ascii="Times New Roman" w:hAnsi="Times New Roman"/>
          <w:b/>
          <w:color w:val="0D6E85"/>
          <w:sz w:val="22"/>
        </w:rPr>
        <w:t>8.2 Work Breakdown Structure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45" w:type="dxa"/>
              <w:bottom w:w="45" w:type="dxa"/>
              <w:left w:w="60" w:type="dxa"/>
              <w:right w:w="60" w:type="dxa"/>
            </w:tcMar>
          </w:tcPr>
          <w:p>
            <w:r>
              <w:rPr>
                <w:rFonts w:ascii="Times New Roman" w:hAnsi="Times New Roman"/>
                <w:b/>
                <w:color w:val="FFFFFF"/>
                <w:sz w:val="17"/>
              </w:rPr>
              <w:t>Team member</w:t>
            </w:r>
          </w:p>
        </w:tc>
        <w:tc>
          <w:tcPr>
            <w:tcW w:type="dxa" w:w="3120"/>
            <w:shd w:fill="0F2C59"/>
            <w:tcMar>
              <w:top w:w="45" w:type="dxa"/>
              <w:bottom w:w="45" w:type="dxa"/>
              <w:left w:w="60" w:type="dxa"/>
              <w:right w:w="60" w:type="dxa"/>
            </w:tcMar>
          </w:tcPr>
          <w:p>
            <w:r>
              <w:rPr>
                <w:rFonts w:ascii="Times New Roman" w:hAnsi="Times New Roman"/>
                <w:b/>
                <w:color w:val="FFFFFF"/>
                <w:sz w:val="17"/>
              </w:rPr>
              <w:t>Primary ownership</w:t>
            </w:r>
          </w:p>
        </w:tc>
        <w:tc>
          <w:tcPr>
            <w:tcW w:type="dxa" w:w="3120"/>
            <w:shd w:fill="0F2C59"/>
            <w:tcMar>
              <w:top w:w="45" w:type="dxa"/>
              <w:bottom w:w="45" w:type="dxa"/>
              <w:left w:w="60" w:type="dxa"/>
              <w:right w:w="60" w:type="dxa"/>
            </w:tcMar>
          </w:tcPr>
          <w:p>
            <w:r>
              <w:rPr>
                <w:rFonts w:ascii="Times New Roman" w:hAnsi="Times New Roman"/>
                <w:b/>
                <w:color w:val="FFFFFF"/>
                <w:sz w:val="17"/>
              </w:rPr>
              <w:t>Shared responsibilities</w:t>
            </w:r>
          </w:p>
        </w:tc>
      </w:tr>
      <w:tr>
        <w:tc>
          <w:tcPr>
            <w:tcW w:type="dxa" w:w="3120"/>
            <w:shd w:fill="F8FAFC"/>
            <w:tcMar>
              <w:top w:w="35" w:type="dxa"/>
              <w:bottom w:w="35" w:type="dxa"/>
              <w:left w:w="60" w:type="dxa"/>
              <w:right w:w="60" w:type="dxa"/>
            </w:tcMar>
          </w:tcPr>
          <w:p>
            <w:r>
              <w:rPr>
                <w:rFonts w:ascii="Times New Roman" w:hAnsi="Times New Roman"/>
                <w:color w:val="1E293B"/>
                <w:sz w:val="16"/>
              </w:rPr>
              <w:t>Deepanshu Chauhan — Team Leader</w:t>
            </w:r>
          </w:p>
        </w:tc>
        <w:tc>
          <w:tcPr>
            <w:tcW w:type="dxa" w:w="3120"/>
            <w:shd w:fill="F8FAFC"/>
            <w:tcMar>
              <w:top w:w="35" w:type="dxa"/>
              <w:bottom w:w="35" w:type="dxa"/>
              <w:left w:w="60" w:type="dxa"/>
              <w:right w:w="60" w:type="dxa"/>
            </w:tcMar>
          </w:tcPr>
          <w:p>
            <w:r>
              <w:rPr>
                <w:rFonts w:ascii="Times New Roman" w:hAnsi="Times New Roman"/>
                <w:color w:val="1E293B"/>
                <w:sz w:val="16"/>
              </w:rPr>
              <w:t>API/domain architecture, backend integration, AI provider adapter, container setup, and report coordination.</w:t>
            </w:r>
          </w:p>
        </w:tc>
        <w:tc>
          <w:tcPr>
            <w:tcW w:type="dxa" w:w="3120"/>
            <w:shd w:fill="F8FAFC"/>
            <w:tcMar>
              <w:top w:w="35" w:type="dxa"/>
              <w:bottom w:w="35" w:type="dxa"/>
              <w:left w:w="60" w:type="dxa"/>
              <w:right w:w="60" w:type="dxa"/>
            </w:tcMar>
          </w:tcPr>
          <w:p>
            <w:r>
              <w:rPr>
                <w:rFonts w:ascii="Times New Roman" w:hAnsi="Times New Roman"/>
                <w:color w:val="1E293B"/>
                <w:sz w:val="16"/>
              </w:rPr>
              <w:t>Integration planning, safety policy, end-to-end testing, final demo.</w:t>
            </w:r>
          </w:p>
        </w:tc>
      </w:tr>
    </w:tbl>
    <w:p>
      <w:r>
        <w:br w:type="page"/>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0F2C59"/>
            <w:tcMar>
              <w:top w:w="45" w:type="dxa"/>
              <w:bottom w:w="45" w:type="dxa"/>
              <w:left w:w="60" w:type="dxa"/>
              <w:right w:w="60" w:type="dxa"/>
            </w:tcMar>
          </w:tcPr>
          <w:p>
            <w:r>
              <w:rPr>
                <w:rFonts w:ascii="Times New Roman" w:hAnsi="Times New Roman"/>
                <w:b/>
                <w:color w:val="FFFFFF"/>
                <w:sz w:val="17"/>
              </w:rPr>
              <w:t>Team member</w:t>
            </w:r>
          </w:p>
        </w:tc>
        <w:tc>
          <w:tcPr>
            <w:tcW w:type="dxa" w:w="3120"/>
            <w:shd w:fill="0F2C59"/>
            <w:tcMar>
              <w:top w:w="45" w:type="dxa"/>
              <w:bottom w:w="45" w:type="dxa"/>
              <w:left w:w="60" w:type="dxa"/>
              <w:right w:w="60" w:type="dxa"/>
            </w:tcMar>
          </w:tcPr>
          <w:p>
            <w:r>
              <w:rPr>
                <w:rFonts w:ascii="Times New Roman" w:hAnsi="Times New Roman"/>
                <w:b/>
                <w:color w:val="FFFFFF"/>
                <w:sz w:val="17"/>
              </w:rPr>
              <w:t>Primary ownership</w:t>
            </w:r>
          </w:p>
        </w:tc>
        <w:tc>
          <w:tcPr>
            <w:tcW w:type="dxa" w:w="3120"/>
            <w:shd w:fill="0F2C59"/>
            <w:tcMar>
              <w:top w:w="45" w:type="dxa"/>
              <w:bottom w:w="45" w:type="dxa"/>
              <w:left w:w="60" w:type="dxa"/>
              <w:right w:w="60" w:type="dxa"/>
            </w:tcMar>
          </w:tcPr>
          <w:p>
            <w:r>
              <w:rPr>
                <w:rFonts w:ascii="Times New Roman" w:hAnsi="Times New Roman"/>
                <w:b/>
                <w:color w:val="FFFFFF"/>
                <w:sz w:val="17"/>
              </w:rPr>
              <w:t>Shared responsibilities</w:t>
            </w:r>
          </w:p>
        </w:tc>
      </w:tr>
      <w:tr>
        <w:tc>
          <w:tcPr>
            <w:tcW w:type="dxa" w:w="3120"/>
            <w:shd w:fill="F8FAFC"/>
            <w:tcMar>
              <w:top w:w="35" w:type="dxa"/>
              <w:bottom w:w="35" w:type="dxa"/>
              <w:left w:w="60" w:type="dxa"/>
              <w:right w:w="60" w:type="dxa"/>
            </w:tcMar>
          </w:tcPr>
          <w:p>
            <w:r>
              <w:rPr>
                <w:rFonts w:ascii="Times New Roman" w:hAnsi="Times New Roman"/>
                <w:color w:val="1E293B"/>
                <w:sz w:val="16"/>
              </w:rPr>
              <w:t>Yash — Frontend</w:t>
            </w:r>
          </w:p>
        </w:tc>
        <w:tc>
          <w:tcPr>
            <w:tcW w:type="dxa" w:w="3120"/>
            <w:shd w:fill="F8FAFC"/>
            <w:tcMar>
              <w:top w:w="35" w:type="dxa"/>
              <w:bottom w:w="35" w:type="dxa"/>
              <w:left w:w="60" w:type="dxa"/>
              <w:right w:w="60" w:type="dxa"/>
            </w:tcMar>
          </w:tcPr>
          <w:p>
            <w:r>
              <w:rPr>
                <w:rFonts w:ascii="Times New Roman" w:hAnsi="Times New Roman"/>
                <w:color w:val="1E293B"/>
                <w:sz w:val="16"/>
              </w:rPr>
              <w:t>Senior/caregiver interfaces, responsive layout, accessible controls, PWA interaction, and cognitive activity UI.</w:t>
            </w:r>
          </w:p>
        </w:tc>
        <w:tc>
          <w:tcPr>
            <w:tcW w:type="dxa" w:w="3120"/>
            <w:shd w:fill="F8FAFC"/>
            <w:tcMar>
              <w:top w:w="35" w:type="dxa"/>
              <w:bottom w:w="35" w:type="dxa"/>
              <w:left w:w="60" w:type="dxa"/>
              <w:right w:w="60" w:type="dxa"/>
            </w:tcMar>
          </w:tcPr>
          <w:p>
            <w:r>
              <w:rPr>
                <w:rFonts w:ascii="Times New Roman" w:hAnsi="Times New Roman"/>
                <w:color w:val="1E293B"/>
                <w:sz w:val="16"/>
              </w:rPr>
              <w:t>Manual accessibility checks, usability feedback, frontend test suite.</w:t>
            </w:r>
          </w:p>
        </w:tc>
      </w:tr>
      <w:tr>
        <w:tc>
          <w:tcPr>
            <w:tcW w:type="dxa" w:w="3120"/>
            <w:shd w:fill="FFFFFF"/>
            <w:tcMar>
              <w:top w:w="35" w:type="dxa"/>
              <w:bottom w:w="35" w:type="dxa"/>
              <w:left w:w="60" w:type="dxa"/>
              <w:right w:w="60" w:type="dxa"/>
            </w:tcMar>
          </w:tcPr>
          <w:p>
            <w:r>
              <w:rPr>
                <w:rFonts w:ascii="Times New Roman" w:hAnsi="Times New Roman"/>
                <w:color w:val="1E293B"/>
                <w:sz w:val="16"/>
              </w:rPr>
              <w:t>Piyush — Data and verification</w:t>
            </w:r>
          </w:p>
        </w:tc>
        <w:tc>
          <w:tcPr>
            <w:tcW w:type="dxa" w:w="3120"/>
            <w:shd w:fill="FFFFFF"/>
            <w:tcMar>
              <w:top w:w="35" w:type="dxa"/>
              <w:bottom w:w="35" w:type="dxa"/>
              <w:left w:w="60" w:type="dxa"/>
              <w:right w:w="60" w:type="dxa"/>
            </w:tcMar>
          </w:tcPr>
          <w:p>
            <w:r>
              <w:rPr>
                <w:rFonts w:ascii="Times New Roman" w:hAnsi="Times New Roman"/>
                <w:color w:val="1E293B"/>
                <w:sz w:val="16"/>
              </w:rPr>
              <w:t>Relational schema, ORM/migrations, reminder state machine, scoring implementation, and backend test design.</w:t>
            </w:r>
          </w:p>
        </w:tc>
        <w:tc>
          <w:tcPr>
            <w:tcW w:type="dxa" w:w="3120"/>
            <w:shd w:fill="FFFFFF"/>
            <w:tcMar>
              <w:top w:w="35" w:type="dxa"/>
              <w:bottom w:w="35" w:type="dxa"/>
              <w:left w:w="60" w:type="dxa"/>
              <w:right w:w="60" w:type="dxa"/>
            </w:tcMar>
          </w:tcPr>
          <w:p>
            <w:r>
              <w:rPr>
                <w:rFonts w:ascii="Times New Roman" w:hAnsi="Times New Roman"/>
                <w:color w:val="1E293B"/>
                <w:sz w:val="16"/>
              </w:rPr>
              <w:t>Requirement traceability, risk-based tests, consistency checks.</w:t>
            </w:r>
          </w:p>
        </w:tc>
      </w:tr>
    </w:tbl>
    <w:p>
      <w:pPr>
        <w:spacing w:before="0" w:after="80" w:line="283" w:lineRule="auto"/>
        <w:jc w:val="left"/>
      </w:pPr>
    </w:p>
    <w:p>
      <w:pPr>
        <w:spacing w:before="120" w:after="40" w:line="276" w:lineRule="auto"/>
        <w:jc w:val="left"/>
      </w:pPr>
      <w:r>
        <w:rPr>
          <w:rFonts w:ascii="Times New Roman" w:hAnsi="Times New Roman"/>
          <w:b/>
          <w:color w:val="0D6E85"/>
          <w:sz w:val="22"/>
        </w:rPr>
        <w:t>8.3 Expected Deliverables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Runnable full-stack prototype with documented environment configuration and reproducible startup instructions.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Senior-facing routine view and caregiver dashboard with consented pairing and role-separated access.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Deterministic reminder lifecycle, event history, and configurable caregiver-alert policy.</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Non-diagnostic activity catalogue with versioned scoring implementation and descriptive trend view.</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Optional conversational assistant behind a provider adapter and bounded local fallback.</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Automated test report, accessibility findings, security test checklist, and basic performance measurements.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Architecture diagram, data model, API documentation, user guide, final report, and presentation deck.</w:t>
      </w:r>
    </w:p>
    <w:p>
      <w:pPr>
        <w:spacing w:before="120" w:after="40" w:line="276" w:lineRule="auto"/>
        <w:jc w:val="left"/>
      </w:pPr>
      <w:r>
        <w:rPr>
          <w:rFonts w:ascii="Times New Roman" w:hAnsi="Times New Roman"/>
          <w:b/>
          <w:color w:val="0D6E85"/>
          <w:sz w:val="22"/>
        </w:rPr>
        <w:t>8.4 Definition of Done for Milestone 2</w:t>
      </w:r>
    </w:p>
    <w:p>
      <w:pPr>
        <w:spacing w:before="0" w:after="80" w:line="283" w:lineRule="auto"/>
        <w:jc w:val="left"/>
      </w:pPr>
      <w:r>
        <w:rPr>
          <w:rFonts w:ascii="Times New Roman" w:hAnsi="Times New Roman"/>
          <w:b w:val="0"/>
          <w:i w:val="0"/>
          <w:color w:val="1E293B"/>
          <w:sz w:val="20"/>
        </w:rPr>
        <w:t>The prototype is ready for review when the core routine lifecycle can be demonstrated end to end; consent and authorization controls pass negative tests; the reminder state machine and scoring are covered by explicit tests; offline behavior is correctly labelled; major accessibility blockers are resolved; and the team can reproduce the demo from the documented setup. Any incomplete feature or known defect should be listed openly.</w:t>
      </w:r>
    </w:p>
    <w:p>
      <w:pPr>
        <w:spacing w:before="160" w:after="60" w:line="276" w:lineRule="auto"/>
        <w:jc w:val="left"/>
      </w:pPr>
      <w:r>
        <w:rPr>
          <w:rFonts w:ascii="Times New Roman" w:hAnsi="Times New Roman"/>
          <w:b/>
          <w:color w:val="0F2C59"/>
          <w:sz w:val="26"/>
        </w:rPr>
        <w:t>9. Limitations and Conclusion</w:t>
      </w:r>
    </w:p>
    <w:p>
      <w:pPr>
        <w:spacing w:before="120" w:after="40" w:line="276" w:lineRule="auto"/>
        <w:jc w:val="left"/>
      </w:pPr>
      <w:r>
        <w:rPr>
          <w:rFonts w:ascii="Times New Roman" w:hAnsi="Times New Roman"/>
          <w:b/>
          <w:color w:val="0D6E85"/>
          <w:sz w:val="22"/>
        </w:rPr>
        <w:t>9.1 Limitations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Routine acknowledgement is self-reported and does not verify medicine ingestion or other real-world actions.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Cognitive activity results can be influenced by device, language, fatigue, sensory needs, task difficulty, and familiarity; they are not clinical assessments.</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Caregiver dashboards depend on consent, network access, and accurate recording; absence of data should not be interpreted as proof that an event did not occur.</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Offline access is intentionally limited. Real-time caregiver alerting and cloud AI interactions cannot be guaranteed without connectivity.</w:t>
      </w:r>
    </w:p>
    <w:p>
      <w:pPr>
        <w:spacing w:before="20" w:after="40" w:line="276" w:lineRule="auto"/>
        <w:ind w:left="288"/>
      </w:pPr>
      <w:r>
        <w:rPr>
          <w:rFonts w:ascii="Times New Roman" w:hAnsi="Times New Roman"/>
          <w:b/>
          <w:color w:val="0D6E85"/>
          <w:sz w:val="19"/>
        </w:rPr>
        <w:t xml:space="preserve">•  </w:t>
      </w:r>
      <w:r>
        <w:rPr>
          <w:rFonts w:ascii="Times New Roman" w:hAnsi="Times New Roman"/>
          <w:color w:val="1E293B"/>
          <w:sz w:val="19"/>
        </w:rPr>
        <w:t>A student prototype cannot establish clinical efficacy, regulatory compliance, or a broad market research gap without further evidence.</w:t>
      </w:r>
    </w:p>
    <w:p>
      <w:r>
        <w:br w:type="page"/>
      </w:r>
    </w:p>
    <w:p>
      <w:pPr>
        <w:spacing w:before="120" w:after="40" w:line="276" w:lineRule="auto"/>
        <w:jc w:val="left"/>
      </w:pPr>
      <w:r>
        <w:rPr>
          <w:rFonts w:ascii="Times New Roman" w:hAnsi="Times New Roman"/>
          <w:b/>
          <w:color w:val="0D6E85"/>
          <w:sz w:val="22"/>
        </w:rPr>
        <w:t>9.2 Conclusion</w:t>
      </w:r>
    </w:p>
    <w:p>
      <w:pPr>
        <w:spacing w:before="0" w:after="120" w:line="283" w:lineRule="auto"/>
        <w:jc w:val="left"/>
      </w:pPr>
      <w:r>
        <w:rPr>
          <w:rFonts w:ascii="Times New Roman" w:hAnsi="Times New Roman"/>
          <w:b w:val="0"/>
          <w:i w:val="0"/>
          <w:color w:val="1E293B"/>
          <w:sz w:val="20"/>
        </w:rPr>
        <w:t>CogniCare is framed as an accessible routine-support system that connects a senior-facing interface with consent-based caregiver visibility. Its strongest technical principle is separation of concerns: the application’s routine and scoring logic remains deterministic, while AI is limited to optional conversation. The design is feasible as a modular web application, but its success will depend on reliable reminder behavior, meaningful consent, accessible interaction, clear offline limitations, and evidence from testing. The next milestone should focus on a small end-to-end workflow and prove it with tests before expanding the feature set.</w:t>
      </w:r>
    </w:p>
    <w:p>
      <w:pPr>
        <w:spacing w:before="160" w:after="60" w:line="276" w:lineRule="auto"/>
        <w:jc w:val="left"/>
      </w:pPr>
      <w:r>
        <w:rPr>
          <w:rFonts w:ascii="Times New Roman" w:hAnsi="Times New Roman"/>
          <w:b/>
          <w:color w:val="0F2C59"/>
          <w:sz w:val="26"/>
        </w:rPr>
        <w:t>References</w:t>
      </w:r>
    </w:p>
    <w:p>
      <w:pPr>
        <w:spacing w:before="20" w:after="50" w:line="269" w:lineRule="auto"/>
        <w:ind w:left="360"/>
      </w:pPr>
      <w:r>
        <w:rPr>
          <w:rFonts w:ascii="Times New Roman" w:hAnsi="Times New Roman"/>
          <w:color w:val="1E293B"/>
          <w:sz w:val="17"/>
        </w:rPr>
        <w:t>[1] World Health Organization, “Dementia,” Fact sheet, 3 July 2026. [Online]. Available: https://www.who.int/en/news-room/fact-sheets/detail/dementia/. Accessed: 19 Oct. 2026.</w:t>
      </w:r>
    </w:p>
    <w:p>
      <w:pPr>
        <w:spacing w:before="20" w:after="50" w:line="269" w:lineRule="auto"/>
        <w:ind w:left="360"/>
      </w:pPr>
      <w:r>
        <w:rPr>
          <w:rFonts w:ascii="Times New Roman" w:hAnsi="Times New Roman"/>
          <w:color w:val="1E293B"/>
          <w:sz w:val="17"/>
        </w:rPr>
        <w:t>[2] World Health Organization, Adherence to Long-Term Therapies: Evidence for Action. Geneva, Switzerland: WHO, 2003. [Online]. Available: https://www.who.int/publications/i/item/9241545992.</w:t>
      </w:r>
    </w:p>
    <w:p>
      <w:pPr>
        <w:spacing w:before="20" w:after="50" w:line="269" w:lineRule="auto"/>
        <w:ind w:left="360"/>
      </w:pPr>
      <w:r>
        <w:rPr>
          <w:rFonts w:ascii="Times New Roman" w:hAnsi="Times New Roman"/>
          <w:color w:val="1E293B"/>
          <w:sz w:val="17"/>
        </w:rPr>
        <w:t>[3] R. C. Petersen et al., “Practice guideline update summary: Mild cognitive impairment,” Neurology, vol. 90, no. 3, pp. 126–135, 2018, doi: 10.1212/WNL.0000000000004826.</w:t>
      </w:r>
    </w:p>
    <w:p>
      <w:pPr>
        <w:spacing w:before="20" w:after="50" w:line="269" w:lineRule="auto"/>
        <w:ind w:left="360"/>
      </w:pPr>
      <w:r>
        <w:rPr>
          <w:rFonts w:ascii="Times New Roman" w:hAnsi="Times New Roman"/>
          <w:color w:val="1E293B"/>
          <w:sz w:val="17"/>
        </w:rPr>
        <w:t>[4] United Nations General Assembly, “Transforming our world: the 2030 Agenda for Sustainable Development,” A/RES/70/1, 2015. [Online]. Available: https://sdgs.un.org/2030agenda.</w:t>
      </w:r>
    </w:p>
    <w:p>
      <w:pPr>
        <w:spacing w:before="20" w:after="50" w:line="269" w:lineRule="auto"/>
        <w:ind w:left="360"/>
      </w:pPr>
      <w:r>
        <w:rPr>
          <w:rFonts w:ascii="Times New Roman" w:hAnsi="Times New Roman"/>
          <w:color w:val="1E293B"/>
          <w:sz w:val="17"/>
        </w:rPr>
        <w:t>[5] United Nations, “Goal 3: Ensure healthy lives and promote well-being for all at all ages.” [Online]. Available: https://sdgs.un.org/goals/goal3. Accessed: 19 Oct. 2026.</w:t>
      </w:r>
    </w:p>
    <w:p>
      <w:pPr>
        <w:spacing w:before="20" w:after="50" w:line="269" w:lineRule="auto"/>
        <w:ind w:left="360"/>
      </w:pPr>
      <w:r>
        <w:rPr>
          <w:rFonts w:ascii="Times New Roman" w:hAnsi="Times New Roman"/>
          <w:color w:val="1E293B"/>
          <w:sz w:val="17"/>
        </w:rPr>
        <w:t>[6] United Nations, “Goal 10: Reduce inequality within and among countries.” [Online]. Available: https://sdgs.un.org/goals/goal10. Accessed: 19 Oct. 2026.</w:t>
      </w:r>
    </w:p>
    <w:p>
      <w:pPr>
        <w:spacing w:before="20" w:after="50" w:line="269" w:lineRule="auto"/>
        <w:ind w:left="360"/>
      </w:pPr>
      <w:r>
        <w:rPr>
          <w:rFonts w:ascii="Times New Roman" w:hAnsi="Times New Roman"/>
          <w:color w:val="1E293B"/>
          <w:sz w:val="17"/>
        </w:rPr>
        <w:t>[7] World Wide Web Consortium (W3C), “Web Content Accessibility Guidelines (WCAG) 2.2,” W3C Recommendation, 5 Oct. 2023. [Online]. Available: https://www.w3.org/TR/WCAG22/.</w:t>
      </w:r>
    </w:p>
    <w:p>
      <w:pPr>
        <w:spacing w:before="20" w:after="50" w:line="269" w:lineRule="auto"/>
        <w:ind w:left="360"/>
      </w:pPr>
      <w:r>
        <w:rPr>
          <w:rFonts w:ascii="Times New Roman" w:hAnsi="Times New Roman"/>
          <w:color w:val="1E293B"/>
          <w:sz w:val="17"/>
        </w:rPr>
        <w:t>[8] Vercel, “Next.js Documentation: App Router.” [Online]. Available: https://nextjs.org/docs/app. Accessed: 19 Oct. 2026.</w:t>
      </w:r>
    </w:p>
    <w:p>
      <w:pPr>
        <w:spacing w:before="20" w:after="50" w:line="269" w:lineRule="auto"/>
        <w:ind w:left="360"/>
      </w:pPr>
      <w:r>
        <w:rPr>
          <w:rFonts w:ascii="Times New Roman" w:hAnsi="Times New Roman"/>
          <w:color w:val="1E293B"/>
          <w:sz w:val="17"/>
        </w:rPr>
        <w:t>[9] PostgreSQL Global Development Group, “Transaction Processing,” PostgreSQL Documentation. [Online]. Available: https://www.postgresql.org/docs/current/transactions.html. Accessed: 19 Oct. 2026.</w:t>
      </w:r>
    </w:p>
    <w:p>
      <w:pPr>
        <w:spacing w:before="20" w:after="50" w:line="269" w:lineRule="auto"/>
        <w:ind w:left="360"/>
      </w:pPr>
      <w:r>
        <w:rPr>
          <w:rFonts w:ascii="Times New Roman" w:hAnsi="Times New Roman"/>
          <w:color w:val="1E293B"/>
          <w:sz w:val="17"/>
        </w:rPr>
        <w:t>[10] FastAPI, “FastAPI Documentation.” [Online]. Available: https://fastapi.tiangolo.com/. Accessed: 19 Oct. 2026.</w:t>
      </w:r>
    </w:p>
    <w:p>
      <w:pPr>
        <w:spacing w:before="20" w:after="50" w:line="269" w:lineRule="auto"/>
        <w:ind w:left="360"/>
      </w:pPr>
      <w:r>
        <w:rPr>
          <w:rFonts w:ascii="Times New Roman" w:hAnsi="Times New Roman"/>
          <w:color w:val="1E293B"/>
          <w:sz w:val="17"/>
        </w:rPr>
        <w:t>[11] Google, “Gemini API Models,” Google AI for Developers. [Online]. Available: https://ai.google.dev/gemini-api/docs/models. Accessed: 19 Oct. 2026.</w:t>
      </w:r>
    </w:p>
    <w:p>
      <w:pPr>
        <w:spacing w:before="20" w:after="50" w:line="269" w:lineRule="auto"/>
        <w:ind w:left="360"/>
      </w:pPr>
      <w:r>
        <w:rPr>
          <w:rFonts w:ascii="Times New Roman" w:hAnsi="Times New Roman"/>
          <w:color w:val="1E293B"/>
          <w:sz w:val="17"/>
        </w:rPr>
        <w:t>[12] Government of India, “The Digital Personal Data Protection Act, 2023,” Act No. 22 of 2023; Ministry of Electronics and Information Technology, “Digital Personal Data Protection Rules, 2025,” notified 14 Nov. 2025. [Online]. Available: https://www.indiacode.nic.in/indiacode/handle/123456789/22037?view_type=browse and https://www.meity.gov.in/documents/act-and-policies. Accessed: 19 Oct. 2026.</w:t>
      </w:r>
    </w:p>
    <w:sectPr w:rsidR="00FC693F" w:rsidRPr="0006063C" w:rsidSect="00034616">
      <w:headerReference w:type="default" r:id="rId9"/>
      <w:footerReference w:type="default" r:id="rId13"/>
      <w:pgSz w:w="12240" w:h="15840"/>
      <w:pgMar w:top="1296" w:right="1440" w:bottom="1296"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Times New Roman" w:hAnsi="Times New Roman"/>
        <w:color w:val="64748B"/>
        <w:sz w:val="17"/>
      </w:rPr>
      <w:t xml:space="preserve">Bennett University • CSET400C • Academic Session 2026–27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2" w:color="0D6E85"/>
      </w:pBdr>
    </w:pPr>
    <w:r>
      <w:rPr>
        <w:rFonts w:ascii="Times New Roman" w:hAnsi="Times New Roman"/>
        <w:b/>
        <w:color w:val="0D6E85"/>
        <w:sz w:val="17"/>
      </w:rPr>
      <w:t>COGNICARE  |  MILESTONE 1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