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4A4B" w14:textId="1BC216E9" w:rsidR="00243860" w:rsidRDefault="00B328E0">
      <w:pPr>
        <w:rPr>
          <w:lang w:val="en-US"/>
        </w:rPr>
      </w:pPr>
      <w:r>
        <w:rPr>
          <w:lang w:val="en-US"/>
        </w:rPr>
        <w:t>Observation:</w:t>
      </w:r>
    </w:p>
    <w:p w14:paraId="0E5D8242" w14:textId="5A949E6B" w:rsidR="00B328E0" w:rsidRPr="00B328E0" w:rsidRDefault="00B328E0" w:rsidP="00B328E0">
      <w:pPr>
        <w:pStyle w:val="ListParagraph"/>
        <w:numPr>
          <w:ilvl w:val="0"/>
          <w:numId w:val="2"/>
        </w:numPr>
        <w:rPr>
          <w:lang w:val="en-US"/>
        </w:rPr>
      </w:pPr>
      <w:r w:rsidRPr="00B328E0">
        <w:rPr>
          <w:lang w:val="en-US"/>
        </w:rPr>
        <w:t>Following columns has unique values and to be ignored</w:t>
      </w:r>
    </w:p>
    <w:p w14:paraId="2AC924A1" w14:textId="0A8815A9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ST0_VARActAuftrag</w:t>
      </w:r>
      <w:r>
        <w:t xml:space="preserve"> , </w:t>
      </w:r>
    </w:p>
    <w:p w14:paraId="018EECEA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ST110_VARExtr_0_HeizungZone_4_Konfig</w:t>
      </w:r>
    </w:p>
    <w:p w14:paraId="632377DD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ST110_VARExtr_0_HeizungZone_5_Konfig</w:t>
      </w:r>
    </w:p>
    <w:p w14:paraId="62BA5597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ST110_VARExtr_0_HeizungZone_6_Konfig</w:t>
      </w:r>
    </w:p>
    <w:p w14:paraId="21727446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ST110_VARExtr_0_HeizungZone_6_Regler_Y</w:t>
      </w:r>
    </w:p>
    <w:p w14:paraId="3EE362EB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ST110_VARExtr_0_HeizungZone_7_Konfig</w:t>
      </w:r>
    </w:p>
    <w:p w14:paraId="3456A1C5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ST110_VARExtr_0_HeizungZone_7_Regler_Y</w:t>
      </w:r>
    </w:p>
    <w:p w14:paraId="7A88D895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ST110_VARExtr_0_HeizungZone_8_Konfig</w:t>
      </w:r>
    </w:p>
    <w:p w14:paraId="6EE9BA0C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ST110_VARExtr_0_HeizungZone_8_Regler_Y</w:t>
      </w:r>
    </w:p>
    <w:p w14:paraId="17934A2F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ST110_VARExtr_0_HeizungZone_9_Konfig</w:t>
      </w:r>
    </w:p>
    <w:p w14:paraId="0891AF3D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ST110_VARExtr_0_HeizungZone_9_Regler_Y</w:t>
      </w:r>
    </w:p>
    <w:p w14:paraId="57FC798C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ST110_VARExtr_1_HeizungZone_1_Konfig</w:t>
      </w:r>
    </w:p>
    <w:p w14:paraId="0BCFC728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ST110_VARExtr_1_HeizungZone_2_Konfig</w:t>
      </w:r>
    </w:p>
    <w:p w14:paraId="3D17EE19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ST110_VARExtr_1_HeizungZone_3_Konfig</w:t>
      </w:r>
    </w:p>
    <w:p w14:paraId="5A160122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ST110_VARExtr_1_HeizungZone_4_Konfig</w:t>
      </w:r>
    </w:p>
    <w:p w14:paraId="19365D34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ST110_VARExtr_1_HeizungZone_5_ActEffectPower</w:t>
      </w:r>
    </w:p>
    <w:p w14:paraId="55A2644A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ST110_VARExtr_1_HeizungZone_5_Konfig</w:t>
      </w:r>
    </w:p>
    <w:p w14:paraId="51EE40E6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ST110_VARExtr_1_HeizungZone_5_Regler_Y</w:t>
      </w:r>
    </w:p>
    <w:p w14:paraId="3C3CA57A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ST110_VARExtr_1_HeizungZone_6_ActEffectPower</w:t>
      </w:r>
    </w:p>
    <w:p w14:paraId="7DA4FEB3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ST110_VARExtr_1_HeizungZone_6_Konfig</w:t>
      </w:r>
    </w:p>
    <w:p w14:paraId="3DCC20DF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ST110_VARExtr_1_HeizungZone_6_Regler_X</w:t>
      </w:r>
    </w:p>
    <w:p w14:paraId="5B15F0FD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ST110_VARExtr_1_HeizungZone_6_Regler_Y</w:t>
      </w:r>
    </w:p>
    <w:p w14:paraId="73CAFBEA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ST110_VARExtr_1_HeizungZone_7_Konfig</w:t>
      </w:r>
    </w:p>
    <w:p w14:paraId="4D2F3053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ST110_VARExtr_1_HeizungZone_8_Konfig</w:t>
      </w:r>
    </w:p>
    <w:p w14:paraId="265DC4C8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ST110_VARExtr_2_HeizungZone_1_Konfig</w:t>
      </w:r>
    </w:p>
    <w:p w14:paraId="76530452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ST110_VARExtr_2_HeizungZone_2_Konfig</w:t>
      </w:r>
    </w:p>
    <w:p w14:paraId="69D9AB8F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ST110_VARExtr_2_HeizungZone_3_Konfig</w:t>
      </w:r>
    </w:p>
    <w:p w14:paraId="5E976AD5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ST110_VARExtr_2_HeizungZone_4_Konfig</w:t>
      </w:r>
    </w:p>
    <w:p w14:paraId="71EA5E11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ST110_VARExtr_2_HeizungZone_5_Konfig</w:t>
      </w:r>
    </w:p>
    <w:p w14:paraId="4727B992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ST110_VARExtr_2_HeizungZone_6_ActEffectPower</w:t>
      </w:r>
    </w:p>
    <w:p w14:paraId="5A06F892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ST110_VARExtr_2_HeizungZone_6_Konfig</w:t>
      </w:r>
    </w:p>
    <w:p w14:paraId="587ACD68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ST110_VARExtr_2_HeizungZone_6_Regler_X</w:t>
      </w:r>
    </w:p>
    <w:p w14:paraId="7A26FCD9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ST110_VARExtr_2_HeizungZone_6_Regler_Y</w:t>
      </w:r>
    </w:p>
    <w:p w14:paraId="44BF0A84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ST110_VARExtr_2_HeizungZone_7_Konfig</w:t>
      </w:r>
    </w:p>
    <w:p w14:paraId="70034331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ST110_VARExtr_2_HeizungZone_8_Konfig</w:t>
      </w:r>
    </w:p>
    <w:p w14:paraId="48359574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ST110_VARExtr_3_HeizungZone_1_Konfig</w:t>
      </w:r>
    </w:p>
    <w:p w14:paraId="4AB35749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ST110_VARExtr_3_HeizungZone_2_Konfig</w:t>
      </w:r>
    </w:p>
    <w:p w14:paraId="5D2864AF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ST110_VARExtr_3_HeizungZone_3_Konfig</w:t>
      </w:r>
    </w:p>
    <w:p w14:paraId="71AB6D41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ST110_VARExtr_3_HeizungZone_4_Konfig</w:t>
      </w:r>
    </w:p>
    <w:p w14:paraId="588B5517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ST110_VARExtr_3_HeizungZone_5_ActEffectPower</w:t>
      </w:r>
    </w:p>
    <w:p w14:paraId="744C4492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ST110_VARExtr_3_HeizungZone_5_Konfig</w:t>
      </w:r>
    </w:p>
    <w:p w14:paraId="2CEF807D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ST110_VARExtr_3_HeizungZone_5_Regler_Y</w:t>
      </w:r>
    </w:p>
    <w:p w14:paraId="7B21012A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ST110_VARExtr_3_HeizungZone_6_ActEffectPower</w:t>
      </w:r>
    </w:p>
    <w:p w14:paraId="3C36AC95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ST110_VARExtr_3_HeizungZone_6_Konfig</w:t>
      </w:r>
    </w:p>
    <w:p w14:paraId="1887A194" w14:textId="77777777" w:rsidR="00B328E0" w:rsidRPr="00B328E0" w:rsidRDefault="00B328E0" w:rsidP="00B328E0">
      <w:pPr>
        <w:pStyle w:val="ListParagraph"/>
        <w:numPr>
          <w:ilvl w:val="0"/>
          <w:numId w:val="1"/>
        </w:numPr>
      </w:pPr>
      <w:r w:rsidRPr="00B328E0">
        <w:t>ST110_VARExtr_3_HeizungZone_6_Regler_X</w:t>
      </w:r>
    </w:p>
    <w:p w14:paraId="75392DB5" w14:textId="54A3329E" w:rsidR="00B328E0" w:rsidRDefault="00B328E0" w:rsidP="00B328E0">
      <w:pPr>
        <w:pStyle w:val="ListParagraph"/>
        <w:numPr>
          <w:ilvl w:val="0"/>
          <w:numId w:val="1"/>
        </w:numPr>
      </w:pPr>
      <w:r w:rsidRPr="00B328E0">
        <w:lastRenderedPageBreak/>
        <w:t>ST110_VARExtr_3_HeizungZone_6_Regler_Y</w:t>
      </w:r>
    </w:p>
    <w:p w14:paraId="21AAC03F" w14:textId="2FEB9CAD" w:rsidR="00B328E0" w:rsidRDefault="00B328E0" w:rsidP="00EE2461">
      <w:pPr>
        <w:pStyle w:val="ListParagraph"/>
        <w:numPr>
          <w:ilvl w:val="0"/>
          <w:numId w:val="2"/>
        </w:numPr>
      </w:pPr>
      <w:r>
        <w:t xml:space="preserve">Following columns shows </w:t>
      </w:r>
      <w:proofErr w:type="spellStart"/>
      <w:r>
        <w:t>multicollinearilty</w:t>
      </w:r>
      <w:proofErr w:type="spellEnd"/>
      <w:r>
        <w:t xml:space="preserve"> and are responsible for problems in thickness</w:t>
      </w:r>
    </w:p>
    <w:p w14:paraId="593F31B8" w14:textId="481C5783" w:rsidR="00B328E0" w:rsidRDefault="00B328E0" w:rsidP="00EE2461">
      <w:pPr>
        <w:pStyle w:val="ListParagraph"/>
        <w:numPr>
          <w:ilvl w:val="0"/>
          <w:numId w:val="4"/>
        </w:numPr>
      </w:pPr>
      <w:r w:rsidRPr="00B328E0">
        <w:t>ST110_VARExtr_0_HeizungZone_6_SollTemp</w:t>
      </w:r>
      <w:r>
        <w:t>,</w:t>
      </w:r>
      <w:r w:rsidR="00EE2461">
        <w:t>S</w:t>
      </w:r>
      <w:r w:rsidRPr="00B328E0">
        <w:t>T110_VARExtr_0_HeizungZone_7_SollTemp</w:t>
      </w:r>
      <w:r>
        <w:t>,</w:t>
      </w:r>
      <w:r w:rsidRPr="00B328E0">
        <w:t xml:space="preserve"> ST110_VARExtr_0_HeizungZone_8_SollTemp</w:t>
      </w:r>
      <w:r>
        <w:t>,</w:t>
      </w:r>
      <w:r w:rsidR="00EE2461">
        <w:t xml:space="preserve"> </w:t>
      </w:r>
      <w:r>
        <w:t>ST</w:t>
      </w:r>
      <w:r w:rsidRPr="00B328E0">
        <w:t xml:space="preserve">110_VARExtr_0_HeizungZone_9_SollTemp </w:t>
      </w:r>
    </w:p>
    <w:p w14:paraId="01C4585F" w14:textId="7E6200F8" w:rsidR="00B328E0" w:rsidRPr="00B328E0" w:rsidRDefault="00B328E0" w:rsidP="00EE2461">
      <w:pPr>
        <w:pStyle w:val="ListParagraph"/>
        <w:numPr>
          <w:ilvl w:val="0"/>
          <w:numId w:val="4"/>
        </w:numPr>
      </w:pPr>
      <w:r w:rsidRPr="00B328E0">
        <w:t>ST110_VARExtr_1_HeizungZone_5_SollTemp</w:t>
      </w:r>
      <w:r>
        <w:t>,ST</w:t>
      </w:r>
      <w:r w:rsidRPr="00B328E0">
        <w:t>110_VARExtr_1_HeizungZone_6_SollTemp</w:t>
      </w:r>
      <w:r>
        <w:t xml:space="preserve">, </w:t>
      </w:r>
      <w:r w:rsidRPr="00B328E0">
        <w:t xml:space="preserve"> ST110_VARExtr_2_HeizungZone_6_SollTemp</w:t>
      </w:r>
      <w:r>
        <w:t>,</w:t>
      </w:r>
      <w:r w:rsidR="00EE2461">
        <w:t xml:space="preserve"> </w:t>
      </w:r>
      <w:r>
        <w:t>S</w:t>
      </w:r>
      <w:r w:rsidRPr="00B328E0">
        <w:t>T110_VARExtr_3_HeizungZone_5_SollTemp</w:t>
      </w:r>
      <w:r>
        <w:t>,</w:t>
      </w:r>
      <w:r w:rsidRPr="00B328E0">
        <w:t xml:space="preserve">                       ST110_VARExtr_3_HeizungZone_6_SollTemp</w:t>
      </w:r>
    </w:p>
    <w:p w14:paraId="21E99B4E" w14:textId="6B5486DB" w:rsidR="00B328E0" w:rsidRDefault="000B7DD4" w:rsidP="000B7DD4">
      <w:pPr>
        <w:pStyle w:val="ListParagraph"/>
        <w:numPr>
          <w:ilvl w:val="0"/>
          <w:numId w:val="2"/>
        </w:numPr>
      </w:pPr>
      <w:r>
        <w:t>Following columns are responsible for problems in thickness</w:t>
      </w:r>
    </w:p>
    <w:p w14:paraId="2CDE3920" w14:textId="1EFE9D73" w:rsidR="000B7DD4" w:rsidRPr="000B7DD4" w:rsidRDefault="000B7DD4" w:rsidP="000B7DD4">
      <w:pPr>
        <w:pStyle w:val="ListParagraph"/>
      </w:pPr>
      <w:r w:rsidRPr="000B7DD4">
        <w:t>ST110_VAREx_1_MischerMotor</w:t>
      </w:r>
      <w:r>
        <w:t>, S</w:t>
      </w:r>
      <w:r w:rsidRPr="000B7DD4">
        <w:t>T110_VAREx_2_Dos_0_Ventil</w:t>
      </w:r>
      <w:r>
        <w:t>, S</w:t>
      </w:r>
      <w:r w:rsidRPr="000B7DD4">
        <w:t>T110_VAREx_2_MischerMotor</w:t>
      </w:r>
      <w:r>
        <w:t xml:space="preserve">,  </w:t>
      </w:r>
      <w:r w:rsidRPr="000B7DD4">
        <w:t>ST114_VARDiaShaft</w:t>
      </w:r>
    </w:p>
    <w:p w14:paraId="6E59AAFF" w14:textId="77777777" w:rsidR="000B7DD4" w:rsidRPr="00B328E0" w:rsidRDefault="000B7DD4" w:rsidP="00B328E0">
      <w:pPr>
        <w:pStyle w:val="ListParagraph"/>
      </w:pPr>
    </w:p>
    <w:p w14:paraId="2DBC9347" w14:textId="77777777" w:rsidR="00B328E0" w:rsidRPr="00B328E0" w:rsidRDefault="00B328E0" w:rsidP="00B328E0"/>
    <w:p w14:paraId="0FA37E35" w14:textId="77777777" w:rsidR="00B328E0" w:rsidRPr="00B328E0" w:rsidRDefault="00B328E0">
      <w:pPr>
        <w:rPr>
          <w:lang w:val="en-US"/>
        </w:rPr>
      </w:pPr>
    </w:p>
    <w:sectPr w:rsidR="00B328E0" w:rsidRPr="00B3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D2F79"/>
    <w:multiLevelType w:val="hybridMultilevel"/>
    <w:tmpl w:val="D416D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C4824"/>
    <w:multiLevelType w:val="hybridMultilevel"/>
    <w:tmpl w:val="87AC5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E1806"/>
    <w:multiLevelType w:val="hybridMultilevel"/>
    <w:tmpl w:val="ACB87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832F3"/>
    <w:multiLevelType w:val="hybridMultilevel"/>
    <w:tmpl w:val="BF92E0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9633158">
    <w:abstractNumId w:val="0"/>
  </w:num>
  <w:num w:numId="2" w16cid:durableId="1609115149">
    <w:abstractNumId w:val="2"/>
  </w:num>
  <w:num w:numId="3" w16cid:durableId="2065978565">
    <w:abstractNumId w:val="1"/>
  </w:num>
  <w:num w:numId="4" w16cid:durableId="974287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E0"/>
    <w:rsid w:val="000B7DD4"/>
    <w:rsid w:val="00243860"/>
    <w:rsid w:val="008B7DAD"/>
    <w:rsid w:val="00B328E0"/>
    <w:rsid w:val="00EE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C5ADB"/>
  <w15:chartTrackingRefBased/>
  <w15:docId w15:val="{8DB0475D-DA09-477A-A9DE-693EDF89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0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123</Words>
  <Characters>2329</Characters>
  <Application>Microsoft Office Word</Application>
  <DocSecurity>0</DocSecurity>
  <Lines>58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Shah</dc:creator>
  <cp:keywords/>
  <dc:description/>
  <cp:lastModifiedBy>Deep Shah</cp:lastModifiedBy>
  <cp:revision>2</cp:revision>
  <dcterms:created xsi:type="dcterms:W3CDTF">2024-11-03T10:52:00Z</dcterms:created>
  <dcterms:modified xsi:type="dcterms:W3CDTF">2024-11-03T11:15:00Z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2bd98469-0ee9-4f46-bb2a-ba893d27cea7</vt:lpwstr>
  </property>
</Properties>
</file>