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2B2015"/>
          <w:sz w:val="52"/>
        </w:rPr>
        <w:t>Your Third Space</w:t>
      </w:r>
    </w:p>
    <w:p>
      <w:pPr>
        <w:spacing w:after="40"/>
        <w:jc w:val="center"/>
      </w:pPr>
      <w:r>
        <w:rPr>
          <w:b/>
          <w:i w:val="0"/>
          <w:color w:val="853615"/>
          <w:sz w:val="28"/>
        </w:rPr>
        <w:t>iOS App Store Release — Company Requirements</w:t>
      </w:r>
    </w:p>
    <w:p>
      <w:pPr>
        <w:jc w:val="center"/>
      </w:pPr>
      <w:r>
        <w:rPr>
          <w:b w:val="0"/>
          <w:i/>
          <w:color w:val="584C3C"/>
          <w:sz w:val="20"/>
        </w:rPr>
        <w:t>Non-engineering checklist for Apple Developer Program enrolment and App Store Connect setup</w:t>
      </w:r>
    </w:p>
    <w:p/>
    <w:tbl>
      <w:tblPr>
        <w:tblStyle w:val="TableGrid"/>
        <w:tblW w:type="auto" w:w="0"/>
        <w:jc w:val="center"/>
        <w:tblLook w:firstColumn="1" w:firstRow="1" w:lastColumn="0" w:lastRow="0" w:noHBand="0" w:noVBand="1" w:val="04A0"/>
      </w:tblPr>
      <w:tblGrid>
        <w:gridCol w:w="4896"/>
        <w:gridCol w:w="4896"/>
      </w:tblGrid>
      <w:tr>
        <w:tc>
          <w:tcPr>
            <w:tcW w:type="dxa" w:w="2736"/>
            <w:shd w:val="clear" w:fill="2B2015"/>
          </w:tcPr>
          <w:p>
            <w:r/>
            <w:r>
              <w:rPr>
                <w:b/>
                <w:color w:val="FFFFFF"/>
                <w:sz w:val="19"/>
              </w:rPr>
              <w:t>Field</w:t>
            </w:r>
          </w:p>
        </w:tc>
        <w:tc>
          <w:tcPr>
            <w:tcW w:type="dxa" w:w="7056"/>
            <w:shd w:val="clear" w:fill="2B2015"/>
          </w:tcPr>
          <w:p>
            <w:r/>
            <w:r>
              <w:rPr>
                <w:b/>
                <w:color w:val="FFFFFF"/>
                <w:sz w:val="19"/>
              </w:rPr>
              <w:t>Value</w:t>
            </w:r>
          </w:p>
        </w:tc>
      </w:tr>
      <w:tr>
        <w:tc>
          <w:tcPr>
            <w:tcW w:type="dxa" w:w="2736"/>
          </w:tcPr>
          <w:p>
            <w:pPr>
              <w:spacing w:after="40"/>
            </w:pPr>
            <w:r/>
            <w:r>
              <w:rPr>
                <w:sz w:val="19"/>
              </w:rPr>
              <w:t>Application</w:t>
            </w:r>
          </w:p>
        </w:tc>
        <w:tc>
          <w:tcPr>
            <w:tcW w:type="dxa" w:w="7056"/>
          </w:tcPr>
          <w:p>
            <w:pPr>
              <w:spacing w:after="40"/>
            </w:pPr>
            <w:r/>
            <w:r>
              <w:rPr>
                <w:sz w:val="19"/>
              </w:rPr>
              <w:t>Your Third Space</w:t>
            </w:r>
          </w:p>
        </w:tc>
      </w:tr>
      <w:tr>
        <w:tc>
          <w:tcPr>
            <w:tcW w:type="dxa" w:w="2736"/>
          </w:tcPr>
          <w:p>
            <w:pPr>
              <w:spacing w:after="40"/>
            </w:pPr>
            <w:r/>
            <w:r>
              <w:rPr>
                <w:sz w:val="19"/>
              </w:rPr>
              <w:t>Bundle identifier</w:t>
            </w:r>
          </w:p>
        </w:tc>
        <w:tc>
          <w:tcPr>
            <w:tcW w:type="dxa" w:w="7056"/>
          </w:tcPr>
          <w:p>
            <w:pPr>
              <w:spacing w:after="40"/>
            </w:pPr>
            <w:r/>
            <w:r>
              <w:rPr>
                <w:sz w:val="19"/>
              </w:rPr>
              <w:t>com.thirdspace.app</w:t>
            </w:r>
          </w:p>
        </w:tc>
      </w:tr>
      <w:tr>
        <w:tc>
          <w:tcPr>
            <w:tcW w:type="dxa" w:w="2736"/>
          </w:tcPr>
          <w:p>
            <w:pPr>
              <w:spacing w:after="40"/>
            </w:pPr>
            <w:r/>
            <w:r>
              <w:rPr>
                <w:sz w:val="19"/>
              </w:rPr>
              <w:t>Distribution</w:t>
            </w:r>
          </w:p>
        </w:tc>
        <w:tc>
          <w:tcPr>
            <w:tcW w:type="dxa" w:w="7056"/>
          </w:tcPr>
          <w:p>
            <w:pPr>
              <w:spacing w:after="40"/>
            </w:pPr>
            <w:r/>
            <w:r>
              <w:rPr>
                <w:sz w:val="19"/>
              </w:rPr>
              <w:t>Apple App Store — public release (iPhone only)</w:t>
            </w:r>
          </w:p>
        </w:tc>
      </w:tr>
      <w:tr>
        <w:tc>
          <w:tcPr>
            <w:tcW w:type="dxa" w:w="2736"/>
          </w:tcPr>
          <w:p>
            <w:pPr>
              <w:spacing w:after="40"/>
            </w:pPr>
            <w:r/>
            <w:r>
              <w:rPr>
                <w:sz w:val="19"/>
              </w:rPr>
              <w:t>Account type</w:t>
            </w:r>
          </w:p>
        </w:tc>
        <w:tc>
          <w:tcPr>
            <w:tcW w:type="dxa" w:w="7056"/>
          </w:tcPr>
          <w:p>
            <w:pPr>
              <w:spacing w:after="40"/>
            </w:pPr>
            <w:r/>
            <w:r>
              <w:rPr>
                <w:sz w:val="19"/>
              </w:rPr>
              <w:t>Apple Developer Program — Organization</w:t>
            </w:r>
          </w:p>
        </w:tc>
      </w:tr>
      <w:tr>
        <w:tc>
          <w:tcPr>
            <w:tcW w:type="dxa" w:w="2736"/>
          </w:tcPr>
          <w:p>
            <w:pPr>
              <w:spacing w:after="40"/>
            </w:pPr>
            <w:r/>
            <w:r>
              <w:rPr>
                <w:sz w:val="19"/>
              </w:rPr>
              <w:t>Prepared</w:t>
            </w:r>
          </w:p>
        </w:tc>
        <w:tc>
          <w:tcPr>
            <w:tcW w:type="dxa" w:w="7056"/>
          </w:tcPr>
          <w:p>
            <w:pPr>
              <w:spacing w:after="40"/>
            </w:pPr>
            <w:r/>
            <w:r>
              <w:rPr>
                <w:sz w:val="19"/>
              </w:rPr>
              <w:t>12 August 2026</w:t>
            </w:r>
          </w:p>
        </w:tc>
      </w:tr>
      <w:tr>
        <w:tc>
          <w:tcPr>
            <w:tcW w:type="dxa" w:w="2736"/>
          </w:tcPr>
          <w:p>
            <w:pPr>
              <w:spacing w:after="40"/>
            </w:pPr>
            <w:r/>
            <w:r>
              <w:rPr>
                <w:sz w:val="19"/>
              </w:rPr>
              <w:t>Scope of this document</w:t>
            </w:r>
          </w:p>
        </w:tc>
        <w:tc>
          <w:tcPr>
            <w:tcW w:type="dxa" w:w="7056"/>
          </w:tcPr>
          <w:p>
            <w:pPr>
              <w:spacing w:after="40"/>
            </w:pPr>
            <w:r/>
            <w:r>
              <w:rPr>
                <w:sz w:val="19"/>
              </w:rPr>
              <w:t>Company / administrative actions only. Engineering work is tracked separately.</w:t>
            </w:r>
          </w:p>
        </w:tc>
      </w:tr>
    </w:tbl>
    <w:p>
      <w:pPr>
        <w:spacing w:after="40"/>
      </w:pPr>
    </w:p>
    <w:p>
      <w:pPr>
        <w:pStyle w:val="Heading1"/>
      </w:pPr>
      <w:r>
        <w:t>Summary — start these three today</w:t>
      </w:r>
    </w:p>
    <w:p>
      <w:r>
        <w:rPr>
          <w:b w:val="0"/>
          <w:i w:val="0"/>
        </w:rPr>
        <w:t>These three items sit on the critical path, take the longest, and require no engineering work. Everything else in this document depends on them. Apple's verification clock is the one part of this release that cannot be compressed by working harder.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shd w:val="clear" w:fill="2B2015"/>
          </w:tcPr>
          <w:p>
            <w:r/>
            <w:r>
              <w:rPr>
                <w:b/>
                <w:color w:val="FFFFFF"/>
                <w:sz w:val="19"/>
              </w:rPr>
              <w:t>#</w:t>
            </w:r>
          </w:p>
        </w:tc>
        <w:tc>
          <w:tcPr>
            <w:tcW w:type="dxa" w:w="2664"/>
            <w:shd w:val="clear" w:fill="2B2015"/>
          </w:tcPr>
          <w:p>
            <w:r/>
            <w:r>
              <w:rPr>
                <w:b/>
                <w:color w:val="FFFFFF"/>
                <w:sz w:val="19"/>
              </w:rPr>
              <w:t>Action</w:t>
            </w:r>
          </w:p>
        </w:tc>
        <w:tc>
          <w:tcPr>
            <w:tcW w:type="dxa" w:w="4968"/>
            <w:shd w:val="clear" w:fill="2B2015"/>
          </w:tcPr>
          <w:p>
            <w:r/>
            <w:r>
              <w:rPr>
                <w:b/>
                <w:color w:val="FFFFFF"/>
                <w:sz w:val="19"/>
              </w:rPr>
              <w:t>Why it blocks everything</w:t>
            </w:r>
          </w:p>
        </w:tc>
        <w:tc>
          <w:tcPr>
            <w:tcW w:type="dxa" w:w="1656"/>
            <w:shd w:val="clear" w:fill="2B2015"/>
          </w:tcPr>
          <w:p>
            <w:r/>
            <w:r>
              <w:rPr>
                <w:b/>
                <w:color w:val="FFFFFF"/>
                <w:sz w:val="19"/>
              </w:rPr>
              <w:t>Typical duration</w:t>
            </w:r>
          </w:p>
        </w:tc>
      </w:tr>
      <w:tr>
        <w:tc>
          <w:tcPr>
            <w:tcW w:type="dxa" w:w="504"/>
          </w:tcPr>
          <w:p>
            <w:pPr>
              <w:spacing w:after="40"/>
            </w:pPr>
            <w:r/>
            <w:r>
              <w:rPr>
                <w:sz w:val="19"/>
              </w:rPr>
              <w:t>1</w:t>
            </w:r>
          </w:p>
        </w:tc>
        <w:tc>
          <w:tcPr>
            <w:tcW w:type="dxa" w:w="2664"/>
          </w:tcPr>
          <w:p>
            <w:pPr>
              <w:spacing w:after="40"/>
            </w:pPr>
            <w:r/>
            <w:r>
              <w:rPr>
                <w:sz w:val="19"/>
              </w:rPr>
              <w:t>Apply for a D-U-N-S number</w:t>
            </w:r>
          </w:p>
        </w:tc>
        <w:tc>
          <w:tcPr>
            <w:tcW w:type="dxa" w:w="4968"/>
          </w:tcPr>
          <w:p>
            <w:pPr>
              <w:spacing w:after="40"/>
            </w:pPr>
            <w:r/>
            <w:r>
              <w:rPr>
                <w:sz w:val="19"/>
              </w:rPr>
              <w:t>Apple cannot verify the company without it. Organization enrolment cannot even begin.</w:t>
            </w:r>
          </w:p>
        </w:tc>
        <w:tc>
          <w:tcPr>
            <w:tcW w:type="dxa" w:w="1656"/>
          </w:tcPr>
          <w:p>
            <w:pPr>
              <w:spacing w:after="40"/>
            </w:pPr>
            <w:r/>
            <w:r>
              <w:rPr>
                <w:sz w:val="19"/>
              </w:rPr>
              <w:t>~5 business days (occasionally up to 30)</w:t>
            </w:r>
          </w:p>
        </w:tc>
      </w:tr>
      <w:tr>
        <w:tc>
          <w:tcPr>
            <w:tcW w:type="dxa" w:w="504"/>
          </w:tcPr>
          <w:p>
            <w:pPr>
              <w:spacing w:after="40"/>
            </w:pPr>
            <w:r/>
            <w:r>
              <w:rPr>
                <w:sz w:val="19"/>
              </w:rPr>
              <w:t>2</w:t>
            </w:r>
          </w:p>
        </w:tc>
        <w:tc>
          <w:tcPr>
            <w:tcW w:type="dxa" w:w="2664"/>
          </w:tcPr>
          <w:p>
            <w:pPr>
              <w:spacing w:after="40"/>
            </w:pPr>
            <w:r/>
            <w:r>
              <w:rPr>
                <w:sz w:val="19"/>
              </w:rPr>
              <w:t>Set up the company domain and a work email on it</w:t>
            </w:r>
          </w:p>
        </w:tc>
        <w:tc>
          <w:tcPr>
            <w:tcW w:type="dxa" w:w="4968"/>
          </w:tcPr>
          <w:p>
            <w:pPr>
              <w:spacing w:after="40"/>
            </w:pPr>
            <w:r/>
            <w:r>
              <w:rPr>
                <w:sz w:val="19"/>
              </w:rPr>
              <w:t>Apple requires the enrolling person's email to be on the company domain. A personal Gmail address will be rejected.</w:t>
            </w:r>
          </w:p>
        </w:tc>
        <w:tc>
          <w:tcPr>
            <w:tcW w:type="dxa" w:w="1656"/>
          </w:tcPr>
          <w:p>
            <w:pPr>
              <w:spacing w:after="40"/>
            </w:pPr>
            <w:r/>
            <w:r>
              <w:rPr>
                <w:sz w:val="19"/>
              </w:rPr>
              <w:t>1-2 days</w:t>
            </w:r>
          </w:p>
        </w:tc>
      </w:tr>
      <w:tr>
        <w:tc>
          <w:tcPr>
            <w:tcW w:type="dxa" w:w="504"/>
          </w:tcPr>
          <w:p>
            <w:pPr>
              <w:spacing w:after="40"/>
            </w:pPr>
            <w:r/>
            <w:r>
              <w:rPr>
                <w:sz w:val="19"/>
              </w:rPr>
              <w:t>3</w:t>
            </w:r>
          </w:p>
        </w:tc>
        <w:tc>
          <w:tcPr>
            <w:tcW w:type="dxa" w:w="2664"/>
          </w:tcPr>
          <w:p>
            <w:pPr>
              <w:spacing w:after="40"/>
            </w:pPr>
            <w:r/>
            <w:r>
              <w:rPr>
                <w:sz w:val="19"/>
              </w:rPr>
              <w:t>Publish the company website with real content</w:t>
            </w:r>
          </w:p>
        </w:tc>
        <w:tc>
          <w:tcPr>
            <w:tcW w:type="dxa" w:w="4968"/>
          </w:tcPr>
          <w:p>
            <w:pPr>
              <w:spacing w:after="40"/>
            </w:pPr>
            <w:r/>
            <w:r>
              <w:rPr>
                <w:sz w:val="19"/>
              </w:rPr>
              <w:t>Apple manually checks the site during verification, and the same site must host the privacy policy, terms and support pages required by App Store Connect.</w:t>
            </w:r>
          </w:p>
        </w:tc>
        <w:tc>
          <w:tcPr>
            <w:tcW w:type="dxa" w:w="1656"/>
          </w:tcPr>
          <w:p>
            <w:pPr>
              <w:spacing w:after="40"/>
            </w:pPr>
            <w:r/>
            <w:r>
              <w:rPr>
                <w:sz w:val="19"/>
              </w:rPr>
              <w:t>Depends on you</w:t>
            </w:r>
          </w:p>
        </w:tc>
      </w:tr>
    </w:tbl>
    <w:p>
      <w:pPr>
        <w:spacing w:after="40"/>
      </w:pPr>
    </w:p>
    <w:p>
      <w:pPr>
        <w:pStyle w:val="Heading1"/>
      </w:pPr>
      <w:r>
        <w:t>Stage 1 — Apple Developer Program, Organization enrolment</w:t>
      </w:r>
    </w:p>
    <w:p>
      <w:r>
        <w:rPr>
          <w:b w:val="0"/>
          <w:i w:val="0"/>
        </w:rPr>
        <w:t>Apple's published requirements for Organization enrolment, with what each one means in practice. The wording in the middle column is quoted from Apple's enrolment page.</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2B2015"/>
          </w:tcPr>
          <w:p>
            <w:r/>
            <w:r>
              <w:rPr>
                <w:b/>
                <w:color w:val="FFFFFF"/>
                <w:sz w:val="19"/>
              </w:rPr>
              <w:t>Requirement</w:t>
            </w:r>
          </w:p>
        </w:tc>
        <w:tc>
          <w:tcPr>
            <w:tcW w:type="dxa" w:w="5184"/>
            <w:shd w:val="clear" w:fill="2B2015"/>
          </w:tcPr>
          <w:p>
            <w:r/>
            <w:r>
              <w:rPr>
                <w:b/>
                <w:color w:val="FFFFFF"/>
                <w:sz w:val="19"/>
              </w:rPr>
              <w:t>Apple's wording</w:t>
            </w:r>
          </w:p>
        </w:tc>
        <w:tc>
          <w:tcPr>
            <w:tcW w:type="dxa" w:w="2520"/>
            <w:shd w:val="clear" w:fill="2B2015"/>
          </w:tcPr>
          <w:p>
            <w:r/>
            <w:r>
              <w:rPr>
                <w:b/>
                <w:color w:val="FFFFFF"/>
                <w:sz w:val="19"/>
              </w:rPr>
              <w:t>Status</w:t>
            </w:r>
          </w:p>
        </w:tc>
      </w:tr>
      <w:tr>
        <w:tc>
          <w:tcPr>
            <w:tcW w:type="dxa" w:w="2160"/>
          </w:tcPr>
          <w:p>
            <w:pPr>
              <w:spacing w:after="40"/>
            </w:pPr>
            <w:r/>
            <w:r>
              <w:rPr>
                <w:sz w:val="19"/>
              </w:rPr>
              <w:t>Apple Account with two-factor authentication</w:t>
            </w:r>
          </w:p>
        </w:tc>
        <w:tc>
          <w:tcPr>
            <w:tcW w:type="dxa" w:w="5184"/>
          </w:tcPr>
          <w:p>
            <w:pPr>
              <w:spacing w:after="40"/>
            </w:pPr>
            <w:r/>
            <w:r>
              <w:rPr>
                <w:sz w:val="19"/>
              </w:rPr>
              <w:t>Must be turned on. Apple recommends using an address on your organisation's domain.</w:t>
            </w:r>
          </w:p>
        </w:tc>
        <w:tc>
          <w:tcPr>
            <w:tcW w:type="dxa" w:w="2520"/>
          </w:tcPr>
          <w:p>
            <w:pPr>
              <w:spacing w:after="40"/>
            </w:pPr>
            <w:r/>
            <w:r>
              <w:rPr>
                <w:sz w:val="19"/>
              </w:rPr>
              <w:t>Straightforward</w:t>
            </w:r>
          </w:p>
        </w:tc>
      </w:tr>
      <w:tr>
        <w:tc>
          <w:tcPr>
            <w:tcW w:type="dxa" w:w="2160"/>
          </w:tcPr>
          <w:p>
            <w:pPr>
              <w:spacing w:after="40"/>
            </w:pPr>
            <w:r/>
            <w:r>
              <w:rPr>
                <w:sz w:val="19"/>
              </w:rPr>
              <w:t>Work email on the company domain</w:t>
            </w:r>
          </w:p>
        </w:tc>
        <w:tc>
          <w:tcPr>
            <w:tcW w:type="dxa" w:w="5184"/>
          </w:tcPr>
          <w:p>
            <w:pPr>
              <w:spacing w:after="40"/>
            </w:pPr>
            <w:r/>
            <w:r>
              <w:rPr>
                <w:sz w:val="19"/>
              </w:rPr>
              <w:t>"Your work email address needs to be associated with your organization's domain name."</w:t>
            </w:r>
          </w:p>
        </w:tc>
        <w:tc>
          <w:tcPr>
            <w:tcW w:type="dxa" w:w="2520"/>
          </w:tcPr>
          <w:p>
            <w:pPr>
              <w:spacing w:after="40"/>
            </w:pPr>
            <w:r/>
            <w:r>
              <w:rPr>
                <w:b/>
                <w:color w:val="853615"/>
                <w:sz w:val="19"/>
              </w:rPr>
              <w:t>ACTION NEEDED — a personal gmail.com address will not be accepted</w:t>
            </w:r>
          </w:p>
        </w:tc>
      </w:tr>
      <w:tr>
        <w:tc>
          <w:tcPr>
            <w:tcW w:type="dxa" w:w="2160"/>
          </w:tcPr>
          <w:p>
            <w:pPr>
              <w:spacing w:after="40"/>
            </w:pPr>
            <w:r/>
            <w:r>
              <w:rPr>
                <w:sz w:val="19"/>
              </w:rPr>
              <w:t>Legal authority to bind the company</w:t>
            </w:r>
          </w:p>
        </w:tc>
        <w:tc>
          <w:tcPr>
            <w:tcW w:type="dxa" w:w="5184"/>
          </w:tcPr>
          <w:p>
            <w:pPr>
              <w:spacing w:after="40"/>
            </w:pPr>
            <w:r/>
            <w:r>
              <w:rPr>
                <w:sz w:val="19"/>
              </w:rPr>
              <w:t>"You'll be the Account Holder and must have the legal authority to bind your organization to legal agreements. You must be the organization's owner/founder, executive team member, senior project lead, or an employee with legal authority granted to you by a senior employee."</w:t>
            </w:r>
          </w:p>
        </w:tc>
        <w:tc>
          <w:tcPr>
            <w:tcW w:type="dxa" w:w="2520"/>
          </w:tcPr>
          <w:p>
            <w:pPr>
              <w:spacing w:after="40"/>
            </w:pPr>
            <w:r/>
            <w:r>
              <w:rPr>
                <w:sz w:val="19"/>
              </w:rPr>
              <w:t>Satisfied, assuming you enrol personally</w:t>
            </w:r>
          </w:p>
        </w:tc>
      </w:tr>
      <w:tr>
        <w:tc>
          <w:tcPr>
            <w:tcW w:type="dxa" w:w="2160"/>
          </w:tcPr>
          <w:p>
            <w:pPr>
              <w:spacing w:after="40"/>
            </w:pPr>
            <w:r/>
            <w:r>
              <w:rPr>
                <w:sz w:val="19"/>
              </w:rPr>
              <w:t>Registered legal entity</w:t>
            </w:r>
          </w:p>
        </w:tc>
        <w:tc>
          <w:tcPr>
            <w:tcW w:type="dxa" w:w="5184"/>
          </w:tcPr>
          <w:p>
            <w:pPr>
              <w:spacing w:after="40"/>
            </w:pPr>
            <w:r/>
            <w:r>
              <w:rPr>
                <w:sz w:val="19"/>
              </w:rPr>
              <w:t>"Your organization must be a legal entity that can enter into contracts with Apple. We do not accept DBAs, fictitious business names, trade names, or branches. Your organization's name will be displayed as the seller name of your apps on the App Store."</w:t>
            </w:r>
          </w:p>
        </w:tc>
        <w:tc>
          <w:tcPr>
            <w:tcW w:type="dxa" w:w="2520"/>
          </w:tcPr>
          <w:p>
            <w:pPr>
              <w:spacing w:after="40"/>
            </w:pPr>
            <w:r/>
            <w:r>
              <w:rPr>
                <w:sz w:val="19"/>
              </w:rPr>
              <w:t>Satisfied — note the company name becomes the public seller name</w:t>
            </w:r>
          </w:p>
        </w:tc>
      </w:tr>
      <w:tr>
        <w:tc>
          <w:tcPr>
            <w:tcW w:type="dxa" w:w="2160"/>
          </w:tcPr>
          <w:p>
            <w:pPr>
              <w:spacing w:after="40"/>
            </w:pPr>
            <w:r/>
            <w:r>
              <w:rPr>
                <w:sz w:val="19"/>
              </w:rPr>
              <w:t>D-U-N-S Number</w:t>
            </w:r>
          </w:p>
        </w:tc>
        <w:tc>
          <w:tcPr>
            <w:tcW w:type="dxa" w:w="5184"/>
          </w:tcPr>
          <w:p>
            <w:pPr>
              <w:spacing w:after="40"/>
            </w:pPr>
            <w:r/>
            <w:r>
              <w:rPr>
                <w:sz w:val="19"/>
              </w:rPr>
              <w:t>"Your organization (excluding government entities) must have a D-U-N-S Number so that we can verify your organization's identity, legal entity status, and address."</w:t>
            </w:r>
          </w:p>
        </w:tc>
        <w:tc>
          <w:tcPr>
            <w:tcW w:type="dxa" w:w="2520"/>
          </w:tcPr>
          <w:p>
            <w:pPr>
              <w:spacing w:after="40"/>
            </w:pPr>
            <w:r/>
            <w:r>
              <w:rPr>
                <w:b/>
                <w:color w:val="853615"/>
                <w:sz w:val="19"/>
              </w:rPr>
              <w:t>ACTION NEEDED — free from Dun &amp; Bradstreet via Apple's lookup tool</w:t>
            </w:r>
          </w:p>
        </w:tc>
      </w:tr>
      <w:tr>
        <w:tc>
          <w:tcPr>
            <w:tcW w:type="dxa" w:w="2160"/>
          </w:tcPr>
          <w:p>
            <w:pPr>
              <w:spacing w:after="40"/>
            </w:pPr>
            <w:r/>
            <w:r>
              <w:rPr>
                <w:sz w:val="19"/>
              </w:rPr>
              <w:t>Public company website</w:t>
            </w:r>
          </w:p>
        </w:tc>
        <w:tc>
          <w:tcPr>
            <w:tcW w:type="dxa" w:w="5184"/>
          </w:tcPr>
          <w:p>
            <w:pPr>
              <w:spacing w:after="40"/>
            </w:pPr>
            <w:r/>
            <w:r>
              <w:rPr>
                <w:sz w:val="19"/>
              </w:rPr>
              <w:t>"Your organization's website must be publicly available and functional, and its domain name must be associated with your organization. Links to social media webpages or websites that contain minimal content or display a message from a domain registrar won't be accepted."</w:t>
            </w:r>
          </w:p>
        </w:tc>
        <w:tc>
          <w:tcPr>
            <w:tcW w:type="dxa" w:w="2520"/>
          </w:tcPr>
          <w:p>
            <w:pPr>
              <w:spacing w:after="40"/>
            </w:pPr>
            <w:r/>
            <w:r>
              <w:rPr>
                <w:b/>
                <w:color w:val="853615"/>
                <w:sz w:val="19"/>
              </w:rPr>
              <w:t>BLOCKER — critical path</w:t>
            </w:r>
          </w:p>
        </w:tc>
      </w:tr>
      <w:tr>
        <w:tc>
          <w:tcPr>
            <w:tcW w:type="dxa" w:w="2160"/>
          </w:tcPr>
          <w:p>
            <w:pPr>
              <w:spacing w:after="40"/>
            </w:pPr>
            <w:r/>
            <w:r>
              <w:rPr>
                <w:sz w:val="19"/>
              </w:rPr>
              <w:t>Annual fee</w:t>
            </w:r>
          </w:p>
        </w:tc>
        <w:tc>
          <w:tcPr>
            <w:tcW w:type="dxa" w:w="5184"/>
          </w:tcPr>
          <w:p>
            <w:pPr>
              <w:spacing w:after="40"/>
            </w:pPr>
            <w:r/>
            <w:r>
              <w:rPr>
                <w:sz w:val="19"/>
              </w:rPr>
              <w:t>USD 99 per membership year. Prices vary by region.</w:t>
            </w:r>
          </w:p>
        </w:tc>
        <w:tc>
          <w:tcPr>
            <w:tcW w:type="dxa" w:w="2520"/>
          </w:tcPr>
          <w:p>
            <w:pPr>
              <w:spacing w:after="40"/>
            </w:pPr>
            <w:r/>
            <w:r>
              <w:rPr>
                <w:sz w:val="19"/>
              </w:rPr>
              <w:t>Payable at enrolment</w:t>
            </w:r>
          </w:p>
        </w:tc>
      </w:tr>
    </w:tbl>
    <w:p>
      <w:pPr>
        <w:spacing w:after="40"/>
      </w:pPr>
    </w:p>
    <w:p>
      <w:r>
        <w:rPr>
          <w:b w:val="0"/>
          <w:i w:val="0"/>
          <w:color w:val="584C3C"/>
          <w:sz w:val="19"/>
        </w:rPr>
        <w:t>D-U-N-S lookup and application: https://developer.apple.com/enroll/duns-lookup/</w:t>
      </w:r>
    </w:p>
    <w:p>
      <w:pPr>
        <w:pStyle w:val="Heading2"/>
      </w:pPr>
      <w:r>
        <w:t>The website clause is what stalls most applicants</w:t>
      </w:r>
    </w:p>
    <w:p>
      <w:r>
        <w:rPr>
          <w:b w:val="0"/>
          <w:i w:val="0"/>
        </w:rPr>
        <w:t>Apple reviews the site by hand. Each of the following is a known rejection:</w:t>
      </w:r>
    </w:p>
    <w:p>
      <w:pPr>
        <w:pStyle w:val="ListBullet"/>
        <w:spacing w:after="60"/>
        <w:ind w:left="403"/>
      </w:pPr>
      <w:r>
        <w:t>A parked domain, or a page served by the domain registrar</w:t>
      </w:r>
    </w:p>
    <w:p>
      <w:pPr>
        <w:pStyle w:val="ListBullet"/>
        <w:spacing w:after="60"/>
        <w:ind w:left="403"/>
      </w:pPr>
      <w:r>
        <w:t>A social media profile or Linktree used in place of a website</w:t>
      </w:r>
    </w:p>
    <w:p>
      <w:pPr>
        <w:pStyle w:val="ListBullet"/>
        <w:spacing w:after="60"/>
        <w:ind w:left="403"/>
      </w:pPr>
      <w:r>
        <w:t>A single "coming soon" or "under construction" holding page</w:t>
      </w:r>
    </w:p>
    <w:p>
      <w:pPr>
        <w:pStyle w:val="ListBullet"/>
        <w:spacing w:after="60"/>
        <w:ind w:left="403"/>
      </w:pPr>
      <w:r>
        <w:t>A site on a domain unrelated to the registered company name</w:t>
      </w:r>
    </w:p>
    <w:p>
      <w:r>
        <w:rPr>
          <w:b w:val="0"/>
          <w:i w:val="0"/>
        </w:rPr>
        <w:t>The site must look like a real company's site and describe what the company actually does.</w:t>
      </w:r>
    </w:p>
    <w:p>
      <w:pPr>
        <w:pStyle w:val="Heading1"/>
      </w:pPr>
      <w:r>
        <w:t>Stage 2 — The company website</w:t>
      </w:r>
    </w:p>
    <w:p>
      <w:r>
        <w:rPr>
          <w:b w:val="0"/>
          <w:i w:val="0"/>
        </w:rPr>
        <w:t>Build this first. A single small static site satisfies five separate requirements across Apple enrolment and App Store Connect, so it is the highest-leverage item on the list.</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2B2015"/>
          </w:tcPr>
          <w:p>
            <w:r/>
            <w:r>
              <w:rPr>
                <w:b/>
                <w:color w:val="FFFFFF"/>
                <w:sz w:val="19"/>
              </w:rPr>
              <w:t>Page</w:t>
            </w:r>
          </w:p>
        </w:tc>
        <w:tc>
          <w:tcPr>
            <w:tcW w:type="dxa" w:w="4752"/>
            <w:shd w:val="clear" w:fill="2B2015"/>
          </w:tcPr>
          <w:p>
            <w:r/>
            <w:r>
              <w:rPr>
                <w:b/>
                <w:color w:val="FFFFFF"/>
                <w:sz w:val="19"/>
              </w:rPr>
              <w:t>Requirement it satisfies</w:t>
            </w:r>
          </w:p>
        </w:tc>
        <w:tc>
          <w:tcPr>
            <w:tcW w:type="dxa" w:w="3168"/>
            <w:shd w:val="clear" w:fill="2B2015"/>
          </w:tcPr>
          <w:p>
            <w:r/>
            <w:r>
              <w:rPr>
                <w:b/>
                <w:color w:val="FFFFFF"/>
                <w:sz w:val="19"/>
              </w:rPr>
              <w:t>Required by</w:t>
            </w:r>
          </w:p>
        </w:tc>
      </w:tr>
      <w:tr>
        <w:tc>
          <w:tcPr>
            <w:tcW w:type="dxa" w:w="1944"/>
          </w:tcPr>
          <w:p>
            <w:pPr>
              <w:spacing w:after="40"/>
            </w:pPr>
            <w:r/>
            <w:r>
              <w:rPr>
                <w:sz w:val="19"/>
              </w:rPr>
              <w:t>Home / About</w:t>
            </w:r>
          </w:p>
        </w:tc>
        <w:tc>
          <w:tcPr>
            <w:tcW w:type="dxa" w:w="4752"/>
          </w:tcPr>
          <w:p>
            <w:pPr>
              <w:spacing w:after="40"/>
            </w:pPr>
            <w:r/>
            <w:r>
              <w:rPr>
                <w:sz w:val="19"/>
              </w:rPr>
              <w:t>Demonstrates a real, functional company site on the company domain</w:t>
            </w:r>
          </w:p>
        </w:tc>
        <w:tc>
          <w:tcPr>
            <w:tcW w:type="dxa" w:w="3168"/>
          </w:tcPr>
          <w:p>
            <w:pPr>
              <w:spacing w:after="40"/>
            </w:pPr>
            <w:r/>
            <w:r>
              <w:rPr>
                <w:sz w:val="19"/>
              </w:rPr>
              <w:t>Apple Developer Program org verification</w:t>
            </w:r>
          </w:p>
        </w:tc>
      </w:tr>
      <w:tr>
        <w:tc>
          <w:tcPr>
            <w:tcW w:type="dxa" w:w="1944"/>
          </w:tcPr>
          <w:p>
            <w:pPr>
              <w:spacing w:after="40"/>
            </w:pPr>
            <w:r/>
            <w:r>
              <w:rPr>
                <w:sz w:val="19"/>
              </w:rPr>
              <w:t>Privacy Policy</w:t>
            </w:r>
          </w:p>
        </w:tc>
        <w:tc>
          <w:tcPr>
            <w:tcW w:type="dxa" w:w="4752"/>
          </w:tcPr>
          <w:p>
            <w:pPr>
              <w:spacing w:after="40"/>
            </w:pPr>
            <w:r/>
            <w:r>
              <w:rPr>
                <w:sz w:val="19"/>
              </w:rPr>
              <w:t>Public URL, entered into App Store Connect and linked from inside the app</w:t>
            </w:r>
          </w:p>
        </w:tc>
        <w:tc>
          <w:tcPr>
            <w:tcW w:type="dxa" w:w="3168"/>
          </w:tcPr>
          <w:p>
            <w:pPr>
              <w:spacing w:after="40"/>
            </w:pPr>
            <w:r/>
            <w:r>
              <w:rPr>
                <w:sz w:val="19"/>
              </w:rPr>
              <w:t>App Store Connect (mandatory field) + App Review</w:t>
            </w:r>
          </w:p>
        </w:tc>
      </w:tr>
      <w:tr>
        <w:tc>
          <w:tcPr>
            <w:tcW w:type="dxa" w:w="1944"/>
          </w:tcPr>
          <w:p>
            <w:pPr>
              <w:spacing w:after="40"/>
            </w:pPr>
            <w:r/>
            <w:r>
              <w:rPr>
                <w:sz w:val="19"/>
              </w:rPr>
              <w:t>Terms of Service / EULA</w:t>
            </w:r>
          </w:p>
        </w:tc>
        <w:tc>
          <w:tcPr>
            <w:tcW w:type="dxa" w:w="4752"/>
          </w:tcPr>
          <w:p>
            <w:pPr>
              <w:spacing w:after="40"/>
            </w:pPr>
            <w:r/>
            <w:r>
              <w:rPr>
                <w:sz w:val="19"/>
              </w:rPr>
              <w:t>Linked from inside the app and accepted by the user at sign-up</w:t>
            </w:r>
          </w:p>
        </w:tc>
        <w:tc>
          <w:tcPr>
            <w:tcW w:type="dxa" w:w="3168"/>
          </w:tcPr>
          <w:p>
            <w:pPr>
              <w:spacing w:after="40"/>
            </w:pPr>
            <w:r/>
            <w:r>
              <w:rPr>
                <w:sz w:val="19"/>
              </w:rPr>
              <w:t>App Review Guideline 1.2 + your own liability position</w:t>
            </w:r>
          </w:p>
        </w:tc>
      </w:tr>
      <w:tr>
        <w:tc>
          <w:tcPr>
            <w:tcW w:type="dxa" w:w="1944"/>
          </w:tcPr>
          <w:p>
            <w:pPr>
              <w:spacing w:after="40"/>
            </w:pPr>
            <w:r/>
            <w:r>
              <w:rPr>
                <w:sz w:val="19"/>
              </w:rPr>
              <w:t>Support / Contact</w:t>
            </w:r>
          </w:p>
        </w:tc>
        <w:tc>
          <w:tcPr>
            <w:tcW w:type="dxa" w:w="4752"/>
          </w:tcPr>
          <w:p>
            <w:pPr>
              <w:spacing w:after="40"/>
            </w:pPr>
            <w:r/>
            <w:r>
              <w:rPr>
                <w:sz w:val="19"/>
              </w:rPr>
              <w:t>Public contact route. Guideline 1.2 requires "published contact information so users can easily reach you"</w:t>
            </w:r>
          </w:p>
        </w:tc>
        <w:tc>
          <w:tcPr>
            <w:tcW w:type="dxa" w:w="3168"/>
          </w:tcPr>
          <w:p>
            <w:pPr>
              <w:spacing w:after="40"/>
            </w:pPr>
            <w:r/>
            <w:r>
              <w:rPr>
                <w:sz w:val="19"/>
              </w:rPr>
              <w:t>App Store Connect (mandatory Support URL) + Guideline 1.2</w:t>
            </w:r>
          </w:p>
        </w:tc>
      </w:tr>
      <w:tr>
        <w:tc>
          <w:tcPr>
            <w:tcW w:type="dxa" w:w="1944"/>
          </w:tcPr>
          <w:p>
            <w:pPr>
              <w:spacing w:after="40"/>
            </w:pPr>
            <w:r/>
            <w:r>
              <w:rPr>
                <w:sz w:val="19"/>
              </w:rPr>
              <w:t>Company domain email</w:t>
            </w:r>
          </w:p>
        </w:tc>
        <w:tc>
          <w:tcPr>
            <w:tcW w:type="dxa" w:w="4752"/>
          </w:tcPr>
          <w:p>
            <w:pPr>
              <w:spacing w:after="40"/>
            </w:pPr>
            <w:r/>
            <w:r>
              <w:rPr>
                <w:sz w:val="19"/>
              </w:rPr>
              <w:t>Unblocks the Apple enrolment email requirement in Stage 1</w:t>
            </w:r>
          </w:p>
        </w:tc>
        <w:tc>
          <w:tcPr>
            <w:tcW w:type="dxa" w:w="3168"/>
          </w:tcPr>
          <w:p>
            <w:pPr>
              <w:spacing w:after="40"/>
            </w:pPr>
            <w:r/>
            <w:r>
              <w:rPr>
                <w:sz w:val="19"/>
              </w:rPr>
              <w:t>Apple Developer Program org verification</w:t>
            </w:r>
          </w:p>
        </w:tc>
      </w:tr>
    </w:tbl>
    <w:p>
      <w:pPr>
        <w:spacing w:after="40"/>
      </w:pPr>
    </w:p>
    <w:p>
      <w:r>
        <w:rPr>
          <w:b w:val="0"/>
          <w:i/>
          <w:color w:val="584C3C"/>
          <w:sz w:val="20"/>
        </w:rPr>
        <w:t>Note: the privacy policy must accurately describe the data the app actually collects — email address, name, photographs and video, precise location, user-generated content, and device identifiers. Apple cross-checks it against your App Privacy declarations, and a mismatch is a rejection.</w:t>
      </w:r>
    </w:p>
    <w:p>
      <w:pPr>
        <w:pStyle w:val="Heading1"/>
      </w:pPr>
      <w:r>
        <w:t>Stage 3 — App Store Connect setup, after enrolment clears</w:t>
      </w:r>
    </w:p>
    <w:p>
      <w:pPr>
        <w:pStyle w:val="Heading2"/>
      </w:pPr>
      <w:r>
        <w:t>3.1 Agreements and commercial setup</w:t>
      </w:r>
    </w:p>
    <w:tbl>
      <w:tblPr>
        <w:tblStyle w:val="TableGrid"/>
        <w:tblW w:type="auto" w:w="0"/>
        <w:jc w:val="center"/>
        <w:tblLook w:firstColumn="1" w:firstRow="1" w:lastColumn="0" w:lastRow="0" w:noHBand="0" w:noVBand="1" w:val="04A0"/>
      </w:tblPr>
      <w:tblGrid>
        <w:gridCol w:w="4896"/>
        <w:gridCol w:w="4896"/>
      </w:tblGrid>
      <w:tr>
        <w:tc>
          <w:tcPr>
            <w:tcW w:type="dxa" w:w="2520"/>
            <w:shd w:val="clear" w:fill="2B2015"/>
          </w:tcPr>
          <w:p>
            <w:r/>
            <w:r>
              <w:rPr>
                <w:b/>
                <w:color w:val="FFFFFF"/>
                <w:sz w:val="19"/>
              </w:rPr>
              <w:t>Item</w:t>
            </w:r>
          </w:p>
        </w:tc>
        <w:tc>
          <w:tcPr>
            <w:tcW w:type="dxa" w:w="7272"/>
            <w:shd w:val="clear" w:fill="2B2015"/>
          </w:tcPr>
          <w:p>
            <w:r/>
            <w:r>
              <w:rPr>
                <w:b/>
                <w:color w:val="FFFFFF"/>
                <w:sz w:val="19"/>
              </w:rPr>
              <w:t>Detail</w:t>
            </w:r>
          </w:p>
        </w:tc>
      </w:tr>
      <w:tr>
        <w:tc>
          <w:tcPr>
            <w:tcW w:type="dxa" w:w="2520"/>
          </w:tcPr>
          <w:p>
            <w:pPr>
              <w:spacing w:after="40"/>
            </w:pPr>
            <w:r/>
            <w:r>
              <w:rPr>
                <w:sz w:val="19"/>
              </w:rPr>
              <w:t>Program License Agreement</w:t>
            </w:r>
          </w:p>
        </w:tc>
        <w:tc>
          <w:tcPr>
            <w:tcW w:type="dxa" w:w="7272"/>
          </w:tcPr>
          <w:p>
            <w:pPr>
              <w:spacing w:after="40"/>
            </w:pPr>
            <w:r/>
            <w:r>
              <w:rPr>
                <w:sz w:val="19"/>
              </w:rPr>
              <w:t>Must be accepted before anything else becomes available.</w:t>
            </w:r>
          </w:p>
        </w:tc>
      </w:tr>
      <w:tr>
        <w:tc>
          <w:tcPr>
            <w:tcW w:type="dxa" w:w="2520"/>
          </w:tcPr>
          <w:p>
            <w:pPr>
              <w:spacing w:after="40"/>
            </w:pPr>
            <w:r/>
            <w:r>
              <w:rPr>
                <w:sz w:val="19"/>
              </w:rPr>
              <w:t>Agreements, Tax and Banking</w:t>
            </w:r>
          </w:p>
        </w:tc>
        <w:tc>
          <w:tcPr>
            <w:tcW w:type="dxa" w:w="7272"/>
          </w:tcPr>
          <w:p>
            <w:pPr>
              <w:spacing w:after="40"/>
            </w:pPr>
            <w:r/>
            <w:r>
              <w:rPr>
                <w:sz w:val="19"/>
              </w:rPr>
              <w:t>A free app requires only the free-applications agreement. Adding paid tickets or in-app purchase later requires the Paid Applications Agreement plus tax forms and verified bank details — a multi-week process in its own right. Decide now whether version 1 is free.</w:t>
            </w:r>
          </w:p>
        </w:tc>
      </w:tr>
      <w:tr>
        <w:tc>
          <w:tcPr>
            <w:tcW w:type="dxa" w:w="2520"/>
          </w:tcPr>
          <w:p>
            <w:pPr>
              <w:spacing w:after="40"/>
            </w:pPr>
            <w:r/>
            <w:r>
              <w:rPr>
                <w:sz w:val="19"/>
              </w:rPr>
              <w:t>EU Digital Services Act trader status</w:t>
            </w:r>
          </w:p>
        </w:tc>
        <w:tc>
          <w:tcPr>
            <w:tcW w:type="dxa" w:w="7272"/>
          </w:tcPr>
          <w:p>
            <w:pPr>
              <w:spacing w:after="40"/>
            </w:pPr>
            <w:r/>
            <w:r>
              <w:rPr>
                <w:sz w:val="19"/>
              </w:rPr>
              <w:t>As a company you are a trader. Apple requires a trader address, phone number and email address, which are then PUBLISHED ON YOUR APP STORE PRODUCT PAGE, plus payment account details and a certification that you comply with applicable EU law. Apps without verified trader status are removed from App Store storefronts in the EU. If publishing a company address is unacceptable, you may exclude EU storefronts instead — but make that a deliberate decision, not an oversight.</w:t>
            </w:r>
          </w:p>
        </w:tc>
      </w:tr>
    </w:tbl>
    <w:p>
      <w:pPr>
        <w:spacing w:after="40"/>
      </w:pPr>
    </w:p>
    <w:p>
      <w:pPr>
        <w:pStyle w:val="Heading2"/>
      </w:pPr>
      <w:r>
        <w:t>3.2 The app record</w:t>
      </w:r>
    </w:p>
    <w:tbl>
      <w:tblPr>
        <w:tblStyle w:val="TableGrid"/>
        <w:tblW w:type="auto" w:w="0"/>
        <w:jc w:val="center"/>
        <w:tblLook w:firstColumn="1" w:firstRow="1" w:lastColumn="0" w:lastRow="0" w:noHBand="0" w:noVBand="1" w:val="04A0"/>
      </w:tblPr>
      <w:tblGrid>
        <w:gridCol w:w="4896"/>
        <w:gridCol w:w="4896"/>
      </w:tblGrid>
      <w:tr>
        <w:tc>
          <w:tcPr>
            <w:tcW w:type="dxa" w:w="2016"/>
            <w:shd w:val="clear" w:fill="2B2015"/>
          </w:tcPr>
          <w:p>
            <w:r/>
            <w:r>
              <w:rPr>
                <w:b/>
                <w:color w:val="FFFFFF"/>
                <w:sz w:val="19"/>
              </w:rPr>
              <w:t>Field</w:t>
            </w:r>
          </w:p>
        </w:tc>
        <w:tc>
          <w:tcPr>
            <w:tcW w:type="dxa" w:w="7776"/>
            <w:shd w:val="clear" w:fill="2B2015"/>
          </w:tcPr>
          <w:p>
            <w:r/>
            <w:r>
              <w:rPr>
                <w:b/>
                <w:color w:val="FFFFFF"/>
                <w:sz w:val="19"/>
              </w:rPr>
              <w:t>Detail</w:t>
            </w:r>
          </w:p>
        </w:tc>
      </w:tr>
      <w:tr>
        <w:tc>
          <w:tcPr>
            <w:tcW w:type="dxa" w:w="2016"/>
          </w:tcPr>
          <w:p>
            <w:pPr>
              <w:spacing w:after="40"/>
            </w:pPr>
            <w:r/>
            <w:r>
              <w:rPr>
                <w:sz w:val="19"/>
              </w:rPr>
              <w:t>App name</w:t>
            </w:r>
          </w:p>
        </w:tc>
        <w:tc>
          <w:tcPr>
            <w:tcW w:type="dxa" w:w="7776"/>
          </w:tcPr>
          <w:p>
            <w:pPr>
              <w:spacing w:after="40"/>
            </w:pPr>
            <w:r/>
            <w:r>
              <w:rPr>
                <w:sz w:val="19"/>
              </w:rPr>
              <w:t>Must be unique across the entire App Store. Maximum 30 characters.</w:t>
            </w:r>
          </w:p>
        </w:tc>
      </w:tr>
      <w:tr>
        <w:tc>
          <w:tcPr>
            <w:tcW w:type="dxa" w:w="2016"/>
          </w:tcPr>
          <w:p>
            <w:pPr>
              <w:spacing w:after="40"/>
            </w:pPr>
            <w:r/>
            <w:r>
              <w:rPr>
                <w:sz w:val="19"/>
              </w:rPr>
              <w:t>Bundle ID</w:t>
            </w:r>
          </w:p>
        </w:tc>
        <w:tc>
          <w:tcPr>
            <w:tcW w:type="dxa" w:w="7776"/>
          </w:tcPr>
          <w:p>
            <w:pPr>
              <w:spacing w:after="40"/>
            </w:pPr>
            <w:r/>
            <w:r>
              <w:rPr>
                <w:sz w:val="19"/>
              </w:rPr>
              <w:t>com.thirdspace.app — already set in the project and must match exactly.</w:t>
            </w:r>
          </w:p>
        </w:tc>
      </w:tr>
      <w:tr>
        <w:tc>
          <w:tcPr>
            <w:tcW w:type="dxa" w:w="2016"/>
          </w:tcPr>
          <w:p>
            <w:pPr>
              <w:spacing w:after="40"/>
            </w:pPr>
            <w:r/>
            <w:r>
              <w:rPr>
                <w:sz w:val="19"/>
              </w:rPr>
              <w:t>SKU</w:t>
            </w:r>
          </w:p>
        </w:tc>
        <w:tc>
          <w:tcPr>
            <w:tcW w:type="dxa" w:w="7776"/>
          </w:tcPr>
          <w:p>
            <w:pPr>
              <w:spacing w:after="40"/>
            </w:pPr>
            <w:r/>
            <w:r>
              <w:rPr>
                <w:sz w:val="19"/>
              </w:rPr>
              <w:t>Your own internal identifier. Never shown to users and cannot be changed later.</w:t>
            </w:r>
          </w:p>
        </w:tc>
      </w:tr>
      <w:tr>
        <w:tc>
          <w:tcPr>
            <w:tcW w:type="dxa" w:w="2016"/>
          </w:tcPr>
          <w:p>
            <w:pPr>
              <w:spacing w:after="40"/>
            </w:pPr>
            <w:r/>
            <w:r>
              <w:rPr>
                <w:sz w:val="19"/>
              </w:rPr>
              <w:t>Primary language</w:t>
            </w:r>
          </w:p>
        </w:tc>
        <w:tc>
          <w:tcPr>
            <w:tcW w:type="dxa" w:w="7776"/>
          </w:tcPr>
          <w:p>
            <w:pPr>
              <w:spacing w:after="40"/>
            </w:pPr>
            <w:r/>
            <w:r>
              <w:rPr>
                <w:sz w:val="19"/>
              </w:rPr>
              <w:t>Determines the default localisation of the listing.</w:t>
            </w:r>
          </w:p>
        </w:tc>
      </w:tr>
      <w:tr>
        <w:tc>
          <w:tcPr>
            <w:tcW w:type="dxa" w:w="2016"/>
          </w:tcPr>
          <w:p>
            <w:pPr>
              <w:spacing w:after="40"/>
            </w:pPr>
            <w:r/>
            <w:r>
              <w:rPr>
                <w:sz w:val="19"/>
              </w:rPr>
              <w:t>Platform</w:t>
            </w:r>
          </w:p>
        </w:tc>
        <w:tc>
          <w:tcPr>
            <w:tcW w:type="dxa" w:w="7776"/>
          </w:tcPr>
          <w:p>
            <w:pPr>
              <w:spacing w:after="40"/>
            </w:pPr>
            <w:r/>
            <w:r>
              <w:rPr>
                <w:sz w:val="19"/>
              </w:rPr>
              <w:t>iPhone only. iPad support is currently disabled in the project.</w:t>
            </w:r>
          </w:p>
        </w:tc>
      </w:tr>
    </w:tbl>
    <w:p>
      <w:pPr>
        <w:spacing w:after="40"/>
      </w:pPr>
    </w:p>
    <w:p>
      <w:pPr>
        <w:pStyle w:val="Heading2"/>
      </w:pPr>
      <w:r>
        <w:t>3.3 Compliance questionnaires</w:t>
      </w:r>
    </w:p>
    <w:tbl>
      <w:tblPr>
        <w:tblStyle w:val="TableGrid"/>
        <w:tblW w:type="auto" w:w="0"/>
        <w:jc w:val="center"/>
        <w:tblLook w:firstColumn="1" w:firstRow="1" w:lastColumn="0" w:lastRow="0" w:noHBand="0" w:noVBand="1" w:val="04A0"/>
      </w:tblPr>
      <w:tblGrid>
        <w:gridCol w:w="4896"/>
        <w:gridCol w:w="4896"/>
      </w:tblGrid>
      <w:tr>
        <w:tc>
          <w:tcPr>
            <w:tcW w:type="dxa" w:w="2016"/>
            <w:shd w:val="clear" w:fill="2B2015"/>
          </w:tcPr>
          <w:p>
            <w:r/>
            <w:r>
              <w:rPr>
                <w:b/>
                <w:color w:val="FFFFFF"/>
                <w:sz w:val="19"/>
              </w:rPr>
              <w:t>Questionnaire</w:t>
            </w:r>
          </w:p>
        </w:tc>
        <w:tc>
          <w:tcPr>
            <w:tcW w:type="dxa" w:w="7776"/>
            <w:shd w:val="clear" w:fill="2B2015"/>
          </w:tcPr>
          <w:p>
            <w:r/>
            <w:r>
              <w:rPr>
                <w:b/>
                <w:color w:val="FFFFFF"/>
                <w:sz w:val="19"/>
              </w:rPr>
              <w:t>What to expect for this app</w:t>
            </w:r>
          </w:p>
        </w:tc>
      </w:tr>
      <w:tr>
        <w:tc>
          <w:tcPr>
            <w:tcW w:type="dxa" w:w="2016"/>
          </w:tcPr>
          <w:p>
            <w:pPr>
              <w:spacing w:after="40"/>
            </w:pPr>
            <w:r/>
            <w:r>
              <w:rPr>
                <w:sz w:val="19"/>
              </w:rPr>
              <w:t>Age rating</w:t>
            </w:r>
          </w:p>
        </w:tc>
        <w:tc>
          <w:tcPr>
            <w:tcW w:type="dxa" w:w="7776"/>
          </w:tcPr>
          <w:p>
            <w:pPr>
              <w:spacing w:after="40"/>
            </w:pPr>
            <w:r/>
            <w:r>
              <w:rPr>
                <w:sz w:val="19"/>
              </w:rPr>
              <w:t>User-generated content, direct messaging and user photographs will push the rating to 12+ or higher. Answer honestly; understating it is treated as a misrepresentation.</w:t>
            </w:r>
          </w:p>
        </w:tc>
      </w:tr>
      <w:tr>
        <w:tc>
          <w:tcPr>
            <w:tcW w:type="dxa" w:w="2016"/>
          </w:tcPr>
          <w:p>
            <w:pPr>
              <w:spacing w:after="40"/>
            </w:pPr>
            <w:r/>
            <w:r>
              <w:rPr>
                <w:sz w:val="19"/>
              </w:rPr>
              <w:t>App Privacy</w:t>
            </w:r>
          </w:p>
        </w:tc>
        <w:tc>
          <w:tcPr>
            <w:tcW w:type="dxa" w:w="7776"/>
          </w:tcPr>
          <w:p>
            <w:pPr>
              <w:spacing w:after="40"/>
            </w:pPr>
            <w:r/>
            <w:r>
              <w:rPr>
                <w:sz w:val="19"/>
              </w:rPr>
              <w:t>You must declare every category the app collects: email address, name, photos and video, precise location, user-generated content, and device identifiers. The declarations must match both the app's real behaviour and your published privacy policy.</w:t>
            </w:r>
          </w:p>
        </w:tc>
      </w:tr>
      <w:tr>
        <w:tc>
          <w:tcPr>
            <w:tcW w:type="dxa" w:w="2016"/>
          </w:tcPr>
          <w:p>
            <w:pPr>
              <w:spacing w:after="40"/>
            </w:pPr>
            <w:r/>
            <w:r>
              <w:rPr>
                <w:sz w:val="19"/>
              </w:rPr>
              <w:t>Export compliance</w:t>
            </w:r>
          </w:p>
        </w:tc>
        <w:tc>
          <w:tcPr>
            <w:tcW w:type="dxa" w:w="7776"/>
          </w:tcPr>
          <w:p>
            <w:pPr>
              <w:spacing w:after="40"/>
            </w:pPr>
            <w:r/>
            <w:r>
              <w:rPr>
                <w:sz w:val="19"/>
              </w:rPr>
              <w:t>The app uses standard HTTPS encryption only, which is normally exempt — but the question is mandatory and must still be answered.</w:t>
            </w:r>
          </w:p>
        </w:tc>
      </w:tr>
      <w:tr>
        <w:tc>
          <w:tcPr>
            <w:tcW w:type="dxa" w:w="2016"/>
          </w:tcPr>
          <w:p>
            <w:pPr>
              <w:spacing w:after="40"/>
            </w:pPr>
            <w:r/>
            <w:r>
              <w:rPr>
                <w:sz w:val="19"/>
              </w:rPr>
              <w:t>Content rights</w:t>
            </w:r>
          </w:p>
        </w:tc>
        <w:tc>
          <w:tcPr>
            <w:tcW w:type="dxa" w:w="7776"/>
          </w:tcPr>
          <w:p>
            <w:pPr>
              <w:spacing w:after="40"/>
            </w:pPr>
            <w:r/>
            <w:r>
              <w:rPr>
                <w:sz w:val="19"/>
              </w:rPr>
              <w:t>Declare whether the app contains, displays or accesses third-party content.</w:t>
            </w:r>
          </w:p>
        </w:tc>
      </w:tr>
    </w:tbl>
    <w:p>
      <w:pPr>
        <w:spacing w:after="40"/>
      </w:pPr>
    </w:p>
    <w:p>
      <w:pPr>
        <w:pStyle w:val="Heading2"/>
      </w:pPr>
      <w:r>
        <w:t>3.4 App Review information</w:t>
      </w:r>
    </w:p>
    <w:p>
      <w:r>
        <w:rPr>
          <w:b w:val="0"/>
          <w:i w:val="0"/>
        </w:rPr>
        <w:t>This section is mandatory and is a common cause of an avoidable first-round rejection.</w:t>
      </w:r>
    </w:p>
    <w:p>
      <w:pPr>
        <w:spacing w:before="80" w:after="160"/>
        <w:ind w:left="504"/>
      </w:pPr>
      <w:r>
        <w:rPr>
          <w:i/>
          <w:color w:val="584C3C"/>
          <w:sz w:val="20"/>
        </w:rPr>
        <w:t>"Provide App Review with full access to your app. If your app includes account-based features, provide either an active demo account or fully-featured demo mode, plus any other hardware or resources that might be needed to review your app."  — App Review Guidelines</w:t>
      </w:r>
    </w:p>
    <w:p>
      <w:r>
        <w:rPr>
          <w:b w:val="0"/>
          <w:i w:val="0"/>
        </w:rPr>
        <w:t>Your app is entirely behind authentication, so a working demo account is compulsory. Two requirements that are easy to miss:</w:t>
      </w:r>
    </w:p>
    <w:p>
      <w:pPr>
        <w:pStyle w:val="ListBullet"/>
        <w:spacing w:after="60"/>
        <w:ind w:left="403"/>
      </w:pPr>
      <w:r>
        <w:t>The backend must be live and reachable at review time — Apple explicitly calls out "turn on your back-end service!"</w:t>
      </w:r>
    </w:p>
    <w:p>
      <w:pPr>
        <w:pStyle w:val="ListBullet"/>
        <w:spacing w:after="60"/>
        <w:ind w:left="403"/>
      </w:pPr>
      <w:r>
        <w:t>The demo account must be seeded with real content: upcoming events, at least one active chat thread, and some connections. A reviewer who signs in and sees an empty app risks a separate rejection under Guideline 4.2 for minimum functionality.</w:t>
      </w:r>
    </w:p>
    <w:p>
      <w:pPr>
        <w:pStyle w:val="Heading2"/>
      </w:pPr>
      <w:r>
        <w:t>3.5 Store listing assets</w:t>
      </w:r>
    </w:p>
    <w:tbl>
      <w:tblPr>
        <w:tblStyle w:val="TableGrid"/>
        <w:tblW w:type="auto" w:w="0"/>
        <w:jc w:val="center"/>
        <w:tblLook w:firstColumn="1" w:firstRow="1" w:lastColumn="0" w:lastRow="0" w:noHBand="0" w:noVBand="1" w:val="04A0"/>
      </w:tblPr>
      <w:tblGrid>
        <w:gridCol w:w="4896"/>
        <w:gridCol w:w="4896"/>
      </w:tblGrid>
      <w:tr>
        <w:tc>
          <w:tcPr>
            <w:tcW w:type="dxa" w:w="2016"/>
            <w:shd w:val="clear" w:fill="2B2015"/>
          </w:tcPr>
          <w:p>
            <w:r/>
            <w:r>
              <w:rPr>
                <w:b/>
                <w:color w:val="FFFFFF"/>
                <w:sz w:val="19"/>
              </w:rPr>
              <w:t>Asset</w:t>
            </w:r>
          </w:p>
        </w:tc>
        <w:tc>
          <w:tcPr>
            <w:tcW w:type="dxa" w:w="7776"/>
            <w:shd w:val="clear" w:fill="2B2015"/>
          </w:tcPr>
          <w:p>
            <w:r/>
            <w:r>
              <w:rPr>
                <w:b/>
                <w:color w:val="FFFFFF"/>
                <w:sz w:val="19"/>
              </w:rPr>
              <w:t>Specification</w:t>
            </w:r>
          </w:p>
        </w:tc>
      </w:tr>
      <w:tr>
        <w:tc>
          <w:tcPr>
            <w:tcW w:type="dxa" w:w="2016"/>
          </w:tcPr>
          <w:p>
            <w:pPr>
              <w:spacing w:after="40"/>
            </w:pPr>
            <w:r/>
            <w:r>
              <w:rPr>
                <w:sz w:val="19"/>
              </w:rPr>
              <w:t>App icon</w:t>
            </w:r>
          </w:p>
        </w:tc>
        <w:tc>
          <w:tcPr>
            <w:tcW w:type="dxa" w:w="7776"/>
          </w:tcPr>
          <w:p>
            <w:pPr>
              <w:spacing w:after="40"/>
            </w:pPr>
            <w:r/>
            <w:r>
              <w:rPr>
                <w:sz w:val="19"/>
              </w:rPr>
              <w:t>1024 x 1024 pixels, PNG, no alpha channel and no transparency.</w:t>
            </w:r>
          </w:p>
        </w:tc>
      </w:tr>
      <w:tr>
        <w:tc>
          <w:tcPr>
            <w:tcW w:type="dxa" w:w="2016"/>
          </w:tcPr>
          <w:p>
            <w:pPr>
              <w:spacing w:after="40"/>
            </w:pPr>
            <w:r/>
            <w:r>
              <w:rPr>
                <w:sz w:val="19"/>
              </w:rPr>
              <w:t>Screenshots</w:t>
            </w:r>
          </w:p>
        </w:tc>
        <w:tc>
          <w:tcPr>
            <w:tcW w:type="dxa" w:w="7776"/>
          </w:tcPr>
          <w:p>
            <w:pPr>
              <w:spacing w:after="40"/>
            </w:pPr>
            <w:r/>
            <w:r>
              <w:rPr>
                <w:sz w:val="19"/>
              </w:rPr>
              <w:t>6.9-inch iPhone display size. iPad screenshots are not required, as iPad support is disabled.</w:t>
            </w:r>
          </w:p>
        </w:tc>
      </w:tr>
      <w:tr>
        <w:tc>
          <w:tcPr>
            <w:tcW w:type="dxa" w:w="2016"/>
          </w:tcPr>
          <w:p>
            <w:pPr>
              <w:spacing w:after="40"/>
            </w:pPr>
            <w:r/>
            <w:r>
              <w:rPr>
                <w:sz w:val="19"/>
              </w:rPr>
              <w:t>Description</w:t>
            </w:r>
          </w:p>
        </w:tc>
        <w:tc>
          <w:tcPr>
            <w:tcW w:type="dxa" w:w="7776"/>
          </w:tcPr>
          <w:p>
            <w:pPr>
              <w:spacing w:after="40"/>
            </w:pPr>
            <w:r/>
            <w:r>
              <w:rPr>
                <w:sz w:val="19"/>
              </w:rPr>
              <w:t>Up to 4,000 characters.</w:t>
            </w:r>
          </w:p>
        </w:tc>
      </w:tr>
      <w:tr>
        <w:tc>
          <w:tcPr>
            <w:tcW w:type="dxa" w:w="2016"/>
          </w:tcPr>
          <w:p>
            <w:pPr>
              <w:spacing w:after="40"/>
            </w:pPr>
            <w:r/>
            <w:r>
              <w:rPr>
                <w:sz w:val="19"/>
              </w:rPr>
              <w:t>Keywords</w:t>
            </w:r>
          </w:p>
        </w:tc>
        <w:tc>
          <w:tcPr>
            <w:tcW w:type="dxa" w:w="7776"/>
          </w:tcPr>
          <w:p>
            <w:pPr>
              <w:spacing w:after="40"/>
            </w:pPr>
            <w:r/>
            <w:r>
              <w:rPr>
                <w:sz w:val="19"/>
              </w:rPr>
              <w:t>Up to 100 characters, comma-separated.</w:t>
            </w:r>
          </w:p>
        </w:tc>
      </w:tr>
      <w:tr>
        <w:tc>
          <w:tcPr>
            <w:tcW w:type="dxa" w:w="2016"/>
          </w:tcPr>
          <w:p>
            <w:pPr>
              <w:spacing w:after="40"/>
            </w:pPr>
            <w:r/>
            <w:r>
              <w:rPr>
                <w:sz w:val="19"/>
              </w:rPr>
              <w:t>Promotional text</w:t>
            </w:r>
          </w:p>
        </w:tc>
        <w:tc>
          <w:tcPr>
            <w:tcW w:type="dxa" w:w="7776"/>
          </w:tcPr>
          <w:p>
            <w:pPr>
              <w:spacing w:after="40"/>
            </w:pPr>
            <w:r/>
            <w:r>
              <w:rPr>
                <w:sz w:val="19"/>
              </w:rPr>
              <w:t>Up to 170 characters. Can be changed without submitting a new build.</w:t>
            </w:r>
          </w:p>
        </w:tc>
      </w:tr>
      <w:tr>
        <w:tc>
          <w:tcPr>
            <w:tcW w:type="dxa" w:w="2016"/>
          </w:tcPr>
          <w:p>
            <w:pPr>
              <w:spacing w:after="40"/>
            </w:pPr>
            <w:r/>
            <w:r>
              <w:rPr>
                <w:sz w:val="19"/>
              </w:rPr>
              <w:t>Support URL</w:t>
            </w:r>
          </w:p>
        </w:tc>
        <w:tc>
          <w:tcPr>
            <w:tcW w:type="dxa" w:w="7776"/>
          </w:tcPr>
          <w:p>
            <w:pPr>
              <w:spacing w:after="40"/>
            </w:pPr>
            <w:r/>
            <w:r>
              <w:rPr>
                <w:sz w:val="19"/>
              </w:rPr>
              <w:t>Mandatory. Points at the support page from Stage 2.</w:t>
            </w:r>
          </w:p>
        </w:tc>
      </w:tr>
      <w:tr>
        <w:tc>
          <w:tcPr>
            <w:tcW w:type="dxa" w:w="2016"/>
          </w:tcPr>
          <w:p>
            <w:pPr>
              <w:spacing w:after="40"/>
            </w:pPr>
            <w:r/>
            <w:r>
              <w:rPr>
                <w:sz w:val="19"/>
              </w:rPr>
              <w:t>Privacy Policy URL</w:t>
            </w:r>
          </w:p>
        </w:tc>
        <w:tc>
          <w:tcPr>
            <w:tcW w:type="dxa" w:w="7776"/>
          </w:tcPr>
          <w:p>
            <w:pPr>
              <w:spacing w:after="40"/>
            </w:pPr>
            <w:r/>
            <w:r>
              <w:rPr>
                <w:sz w:val="19"/>
              </w:rPr>
              <w:t>Mandatory. Points at the privacy policy from Stage 2.</w:t>
            </w:r>
          </w:p>
        </w:tc>
      </w:tr>
      <w:tr>
        <w:tc>
          <w:tcPr>
            <w:tcW w:type="dxa" w:w="2016"/>
          </w:tcPr>
          <w:p>
            <w:pPr>
              <w:spacing w:after="40"/>
            </w:pPr>
            <w:r/>
            <w:r>
              <w:rPr>
                <w:sz w:val="19"/>
              </w:rPr>
              <w:t>Marketing URL</w:t>
            </w:r>
          </w:p>
        </w:tc>
        <w:tc>
          <w:tcPr>
            <w:tcW w:type="dxa" w:w="7776"/>
          </w:tcPr>
          <w:p>
            <w:pPr>
              <w:spacing w:after="40"/>
            </w:pPr>
            <w:r/>
            <w:r>
              <w:rPr>
                <w:sz w:val="19"/>
              </w:rPr>
              <w:t>Optional.</w:t>
            </w:r>
          </w:p>
        </w:tc>
      </w:tr>
    </w:tbl>
    <w:p>
      <w:pPr>
        <w:spacing w:after="40"/>
      </w:pPr>
    </w:p>
    <w:p>
      <w:r>
        <w:br w:type="page"/>
      </w:r>
    </w:p>
    <w:p>
      <w:pPr>
        <w:pStyle w:val="Heading1"/>
      </w:pPr>
      <w:r>
        <w:t>Appendix A — Why the app itself needs safety features</w:t>
      </w:r>
    </w:p>
    <w:p>
      <w:r>
        <w:rPr>
          <w:b w:val="0"/>
          <w:i w:val="0"/>
        </w:rPr>
        <w:t>This appendix is included so the company-side and engineering-side requirements are understood together. Apple applies Guideline 1.2 strictly to any app with user-generated content and messaging, and it is the single most likely reason for rejection.</w:t>
      </w:r>
    </w:p>
    <w:p>
      <w:pPr>
        <w:spacing w:before="80" w:after="160"/>
        <w:ind w:left="504"/>
      </w:pPr>
      <w:r>
        <w:rPr>
          <w:i/>
          <w:color w:val="584C3C"/>
          <w:sz w:val="20"/>
        </w:rPr>
        <w:t>Apps with user-generated content or social networking services must include:</w:t>
        <w:br/>
        <w:t xml:space="preserve">  •  A method for filtering objectionable material from being posted to the app</w:t>
        <w:br/>
        <w:t xml:space="preserve">  •  A mechanism to report offensive content and timely responses to concerns</w:t>
        <w:br/>
        <w:t xml:space="preserve">  •  The ability to block abusive users from the service</w:t>
        <w:br/>
        <w:t xml:space="preserve">  •  Published contact information so users can easily reach you</w:t>
        <w:br/>
        <w:t>— App Review Guideline 1.2, User-Generated Content</w:t>
      </w:r>
    </w:p>
    <w:p>
      <w:r>
        <w:rPr>
          <w:b w:val="0"/>
          <w:i w:val="0"/>
        </w:rPr>
        <w:t>Separately, Guideline 5.1.1(v) states:</w:t>
      </w:r>
    </w:p>
    <w:p>
      <w:pPr>
        <w:spacing w:before="80" w:after="160"/>
        <w:ind w:left="504"/>
      </w:pPr>
      <w:r>
        <w:rPr>
          <w:i/>
          <w:color w:val="584C3C"/>
          <w:sz w:val="20"/>
        </w:rPr>
        <w:t>"If your app supports account creation, you must also offer account deletion within the app."</w:t>
      </w:r>
    </w:p>
    <w:p>
      <w:r>
        <w:rPr>
          <w:b w:val="0"/>
          <w:i w:val="0"/>
        </w:rPr>
        <w:t>The fourth item in Guideline 1.2 — published contact information — is satisfied by the support page in Stage 2. The other three, along with account deletion, terms acceptance at sign-up and in-app policy links, are engineering work and are tracked in the implementation plan.</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fill="2B2015"/>
          </w:tcPr>
          <w:p>
            <w:r/>
            <w:r>
              <w:rPr>
                <w:b/>
                <w:color w:val="FFFFFF"/>
                <w:sz w:val="19"/>
              </w:rPr>
              <w:t>Guideline requirement</w:t>
            </w:r>
          </w:p>
        </w:tc>
        <w:tc>
          <w:tcPr>
            <w:tcW w:type="dxa" w:w="4752"/>
            <w:shd w:val="clear" w:fill="2B2015"/>
          </w:tcPr>
          <w:p>
            <w:r/>
            <w:r>
              <w:rPr>
                <w:b/>
                <w:color w:val="FFFFFF"/>
                <w:sz w:val="19"/>
              </w:rPr>
              <w:t>Satisfied by</w:t>
            </w:r>
          </w:p>
        </w:tc>
        <w:tc>
          <w:tcPr>
            <w:tcW w:type="dxa" w:w="2016"/>
            <w:shd w:val="clear" w:fill="2B2015"/>
          </w:tcPr>
          <w:p>
            <w:r/>
            <w:r>
              <w:rPr>
                <w:b/>
                <w:color w:val="FFFFFF"/>
                <w:sz w:val="19"/>
              </w:rPr>
              <w:t>Owner</w:t>
            </w:r>
          </w:p>
        </w:tc>
      </w:tr>
      <w:tr>
        <w:tc>
          <w:tcPr>
            <w:tcW w:type="dxa" w:w="3024"/>
          </w:tcPr>
          <w:p>
            <w:pPr>
              <w:spacing w:after="40"/>
            </w:pPr>
            <w:r/>
            <w:r>
              <w:rPr>
                <w:sz w:val="19"/>
              </w:rPr>
              <w:t>Filter objectionable material</w:t>
            </w:r>
          </w:p>
        </w:tc>
        <w:tc>
          <w:tcPr>
            <w:tcW w:type="dxa" w:w="4752"/>
          </w:tcPr>
          <w:p>
            <w:pPr>
              <w:spacing w:after="40"/>
            </w:pPr>
            <w:r/>
            <w:r>
              <w:rPr>
                <w:sz w:val="19"/>
              </w:rPr>
              <w:t>Content filtering on posted text and media</w:t>
            </w:r>
          </w:p>
        </w:tc>
        <w:tc>
          <w:tcPr>
            <w:tcW w:type="dxa" w:w="2016"/>
          </w:tcPr>
          <w:p>
            <w:pPr>
              <w:spacing w:after="40"/>
            </w:pPr>
            <w:r/>
            <w:r>
              <w:rPr>
                <w:sz w:val="19"/>
              </w:rPr>
              <w:t>Engineering</w:t>
            </w:r>
          </w:p>
        </w:tc>
      </w:tr>
      <w:tr>
        <w:tc>
          <w:tcPr>
            <w:tcW w:type="dxa" w:w="3024"/>
          </w:tcPr>
          <w:p>
            <w:pPr>
              <w:spacing w:after="40"/>
            </w:pPr>
            <w:r/>
            <w:r>
              <w:rPr>
                <w:sz w:val="19"/>
              </w:rPr>
              <w:t>Report mechanism and timely response</w:t>
            </w:r>
          </w:p>
        </w:tc>
        <w:tc>
          <w:tcPr>
            <w:tcW w:type="dxa" w:w="4752"/>
          </w:tcPr>
          <w:p>
            <w:pPr>
              <w:spacing w:after="40"/>
            </w:pPr>
            <w:r/>
            <w:r>
              <w:rPr>
                <w:sz w:val="19"/>
              </w:rPr>
              <w:t>In-app reporting, plus a company process for acting on reports</w:t>
            </w:r>
          </w:p>
        </w:tc>
        <w:tc>
          <w:tcPr>
            <w:tcW w:type="dxa" w:w="2016"/>
          </w:tcPr>
          <w:p>
            <w:pPr>
              <w:spacing w:after="40"/>
            </w:pPr>
            <w:r/>
            <w:r>
              <w:rPr>
                <w:sz w:val="19"/>
              </w:rPr>
              <w:t>Engineering + Company</w:t>
            </w:r>
          </w:p>
        </w:tc>
      </w:tr>
      <w:tr>
        <w:tc>
          <w:tcPr>
            <w:tcW w:type="dxa" w:w="3024"/>
          </w:tcPr>
          <w:p>
            <w:pPr>
              <w:spacing w:after="40"/>
            </w:pPr>
            <w:r/>
            <w:r>
              <w:rPr>
                <w:sz w:val="19"/>
              </w:rPr>
              <w:t>Block abusive users</w:t>
            </w:r>
          </w:p>
        </w:tc>
        <w:tc>
          <w:tcPr>
            <w:tcW w:type="dxa" w:w="4752"/>
          </w:tcPr>
          <w:p>
            <w:pPr>
              <w:spacing w:after="40"/>
            </w:pPr>
            <w:r/>
            <w:r>
              <w:rPr>
                <w:sz w:val="19"/>
              </w:rPr>
              <w:t>Block function with enforced visibility rules</w:t>
            </w:r>
          </w:p>
        </w:tc>
        <w:tc>
          <w:tcPr>
            <w:tcW w:type="dxa" w:w="2016"/>
          </w:tcPr>
          <w:p>
            <w:pPr>
              <w:spacing w:after="40"/>
            </w:pPr>
            <w:r/>
            <w:r>
              <w:rPr>
                <w:sz w:val="19"/>
              </w:rPr>
              <w:t>Engineering</w:t>
            </w:r>
          </w:p>
        </w:tc>
      </w:tr>
      <w:tr>
        <w:tc>
          <w:tcPr>
            <w:tcW w:type="dxa" w:w="3024"/>
          </w:tcPr>
          <w:p>
            <w:pPr>
              <w:spacing w:after="40"/>
            </w:pPr>
            <w:r/>
            <w:r>
              <w:rPr>
                <w:sz w:val="19"/>
              </w:rPr>
              <w:t>Published contact information</w:t>
            </w:r>
          </w:p>
        </w:tc>
        <w:tc>
          <w:tcPr>
            <w:tcW w:type="dxa" w:w="4752"/>
          </w:tcPr>
          <w:p>
            <w:pPr>
              <w:spacing w:after="40"/>
            </w:pPr>
            <w:r/>
            <w:r>
              <w:rPr>
                <w:sz w:val="19"/>
              </w:rPr>
              <w:t>Support page on the company website (Stage 2)</w:t>
            </w:r>
          </w:p>
        </w:tc>
        <w:tc>
          <w:tcPr>
            <w:tcW w:type="dxa" w:w="2016"/>
          </w:tcPr>
          <w:p>
            <w:pPr>
              <w:spacing w:after="40"/>
            </w:pPr>
            <w:r/>
            <w:r>
              <w:rPr>
                <w:sz w:val="19"/>
              </w:rPr>
              <w:t>Company</w:t>
            </w:r>
          </w:p>
        </w:tc>
      </w:tr>
      <w:tr>
        <w:tc>
          <w:tcPr>
            <w:tcW w:type="dxa" w:w="3024"/>
          </w:tcPr>
          <w:p>
            <w:pPr>
              <w:spacing w:after="40"/>
            </w:pPr>
            <w:r/>
            <w:r>
              <w:rPr>
                <w:sz w:val="19"/>
              </w:rPr>
              <w:t>Account deletion — 5.1.1(v)</w:t>
            </w:r>
          </w:p>
        </w:tc>
        <w:tc>
          <w:tcPr>
            <w:tcW w:type="dxa" w:w="4752"/>
          </w:tcPr>
          <w:p>
            <w:pPr>
              <w:spacing w:after="40"/>
            </w:pPr>
            <w:r/>
            <w:r>
              <w:rPr>
                <w:sz w:val="19"/>
              </w:rPr>
              <w:t>In-app account deletion</w:t>
            </w:r>
          </w:p>
        </w:tc>
        <w:tc>
          <w:tcPr>
            <w:tcW w:type="dxa" w:w="2016"/>
          </w:tcPr>
          <w:p>
            <w:pPr>
              <w:spacing w:after="40"/>
            </w:pPr>
            <w:r/>
            <w:r>
              <w:rPr>
                <w:sz w:val="19"/>
              </w:rPr>
              <w:t>Engineering</w:t>
            </w:r>
          </w:p>
        </w:tc>
      </w:tr>
    </w:tbl>
    <w:p>
      <w:pPr>
        <w:spacing w:after="40"/>
      </w:pPr>
    </w:p>
    <w:p>
      <w:r>
        <w:rPr>
          <w:b w:val="0"/>
          <w:i/>
          <w:color w:val="584C3C"/>
          <w:sz w:val="20"/>
        </w:rPr>
        <w:t>Note that a reporting mechanism creates an ongoing company obligation, not just a one-off engineering task. Apple requires timely responses to reports, and states that failure to remove violating content can result in the app being removed from the App Store. Someone at the company must own the report queue before launch.</w:t>
      </w:r>
    </w:p>
    <w:p>
      <w:pPr>
        <w:pStyle w:val="Heading1"/>
      </w:pPr>
      <w:r>
        <w:t>Appendix B — Sources</w:t>
      </w:r>
    </w:p>
    <w:p>
      <w:r>
        <w:rPr>
          <w:b w:val="0"/>
          <w:i w:val="0"/>
        </w:rPr>
        <w:t>Every requirement in this document was verified against Apple's own published documentation on 12 August 2026. Apple changes these requirements periodically; re-check before acting on anything time-sensitive.</w:t>
      </w:r>
    </w:p>
    <w:p>
      <w:pPr>
        <w:pStyle w:val="ListBullet"/>
        <w:spacing w:after="60"/>
        <w:ind w:left="403"/>
      </w:pPr>
      <w:r>
        <w:t>Apple Developer Program enrolment — https://developer.apple.com/programs/enroll/</w:t>
      </w:r>
    </w:p>
    <w:p>
      <w:pPr>
        <w:pStyle w:val="ListBullet"/>
        <w:spacing w:after="60"/>
        <w:ind w:left="403"/>
      </w:pPr>
      <w:r>
        <w:t>App Review Guidelines — https://developer.apple.com/app-store/review/guidelines/</w:t>
      </w:r>
    </w:p>
    <w:p>
      <w:pPr>
        <w:pStyle w:val="ListBullet"/>
        <w:spacing w:after="60"/>
        <w:ind w:left="403"/>
      </w:pPr>
      <w:r>
        <w:t>EU Digital Services Act trader requirements — https://developer.apple.com/help/app-store-connect/manage-compliance-information/manage-european-union-digital-services-act-trader-requirements/</w:t>
      </w:r>
    </w:p>
    <w:p>
      <w:pPr>
        <w:pStyle w:val="ListBullet"/>
        <w:spacing w:after="60"/>
        <w:ind w:left="403"/>
      </w:pPr>
      <w:r>
        <w:t>D-U-N-S number lookup — https://developer.apple.com/enroll/duns-lookup/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B201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853615"/>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B20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