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Data Flow Diagram " w:id="1"/>
      <w:bookmarkEnd w:id="1"/>
      <w:r>
        <w:rPr>
          <w:b w:val="0"/>
        </w:rPr>
      </w:r>
      <w:r>
        <w:rPr/>
        <w:t>Data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>
          <w:spacing w:val="-2"/>
        </w:rPr>
        <w:t>Diagram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02 October 2026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TableParagraph"/>
              <w:spacing w:before="80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SWTID-2026-2037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TableParagraph"/>
              <w:spacing w:before="8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LegalEase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253"/>
        <w:rPr>
          <w:b/>
        </w:rPr>
      </w:pPr>
    </w:p>
    <w:p>
      <w:pPr>
        <w:pStyle w:val="Heading2"/>
      </w:pPr>
      <w:r>
        <w:rPr/>
        <w:t>Data Flow </w:t>
      </w:r>
      <w:r>
        <w:rPr>
          <w:spacing w:val="-2"/>
        </w:rPr>
        <w:t>Diagram</w:t>
      </w:r>
    </w:p>
    <w:p>
      <w:pPr>
        <w:pStyle w:val="BodyText"/>
        <w:spacing w:line="276" w:lineRule="auto" w:before="242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Flow</w:t>
      </w:r>
      <w:r>
        <w:rPr>
          <w:spacing w:val="-3"/>
        </w:rPr>
        <w:t> </w:t>
      </w:r>
      <w:r>
        <w:rPr/>
        <w:t>Diagram</w:t>
      </w:r>
      <w:r>
        <w:rPr>
          <w:spacing w:val="-3"/>
        </w:rPr>
        <w:t> </w:t>
      </w:r>
      <w:r>
        <w:rPr/>
        <w:t>(DFD)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moves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between external entities, processes, and data stores. Use the symbol legend below as a guide.</w:t>
      </w:r>
    </w:p>
    <w:p>
      <w:pPr>
        <w:pStyle w:val="Heading2"/>
        <w:spacing w:before="200"/>
      </w:pPr>
      <w:bookmarkStart w:name="DFD Symbol Legend " w:id="2"/>
      <w:bookmarkEnd w:id="2"/>
      <w:r>
        <w:rPr>
          <w:b w:val="0"/>
        </w:rPr>
      </w:r>
      <w:r>
        <w:rPr/>
        <w:t>DFD Symbol </w:t>
      </w:r>
      <w:r>
        <w:rPr>
          <w:spacing w:val="-2"/>
        </w:rPr>
        <w:t>Legend</w:t>
      </w: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0"/>
        <w:gridCol w:w="1940"/>
        <w:gridCol w:w="4920"/>
      </w:tblGrid>
      <w:tr>
        <w:trPr>
          <w:trHeight w:val="479" w:hRule="atLeast"/>
        </w:trPr>
        <w:tc>
          <w:tcPr>
            <w:tcW w:w="2480" w:type="dxa"/>
            <w:shd w:val="clear" w:color="auto" w:fill="D5E7F0"/>
          </w:tcPr>
          <w:p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1080" w:hRule="atLeast"/>
        </w:trPr>
        <w:tc>
          <w:tcPr>
            <w:tcW w:w="2480" w:type="dxa"/>
          </w:tcPr>
          <w:p>
            <w:pPr>
              <w:pStyle w:val="TableParagraph"/>
              <w:spacing w:line="276" w:lineRule="auto" w:before="71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 w:before="71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>
        <w:trPr>
          <w:trHeight w:val="1099" w:hRule="atLeast"/>
        </w:trPr>
        <w:tc>
          <w:tcPr>
            <w:tcW w:w="2480" w:type="dxa"/>
          </w:tcPr>
          <w:p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>Rectangle </w:t>
            </w:r>
            <w:r>
              <w:rPr>
                <w:b/>
                <w:spacing w:val="-4"/>
                <w:sz w:val="24"/>
              </w:rPr>
              <w:t>with</w:t>
            </w: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 w:before="88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>
        <w:trPr>
          <w:trHeight w:val="779" w:hRule="atLeast"/>
        </w:trPr>
        <w:tc>
          <w:tcPr>
            <w:tcW w:w="2480" w:type="dxa"/>
          </w:tcPr>
          <w:p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(e.g., Customer Database, Inventory).</w:t>
            </w:r>
          </w:p>
        </w:tc>
      </w:tr>
      <w:tr>
        <w:trPr>
          <w:trHeight w:val="1100" w:hRule="atLeast"/>
        </w:trPr>
        <w:tc>
          <w:tcPr>
            <w:tcW w:w="248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what data is being passed.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55"/>
        <w:rPr>
          <w:b/>
        </w:rPr>
      </w:pPr>
    </w:p>
    <w:p>
      <w:pPr>
        <w:pStyle w:val="Heading2"/>
        <w:spacing w:before="1"/>
      </w:pPr>
      <w:bookmarkStart w:name="Example " w:id="3"/>
      <w:bookmarkEnd w:id="3"/>
      <w:r>
        <w:rPr>
          <w:b w:val="0"/>
        </w:rPr>
        <w:t>LegalEase Data Flow Diagram (Level 1)</w:t>
      </w:r>
    </w:p>
    <w:p>
      <w:pPr>
        <w:pStyle w:val="BodyText"/>
        <w:spacing w:line="276" w:lineRule="auto" w:before="141"/>
        <w:ind w:right="414"/>
      </w:pPr>
      <w:r>
        <w:t>The diagram below shows how data moves through LegalEase: the user submits legal queries and documents, the system analyzes the information, provides legal guidance and tracks case requests, while relevant records are stored and cases can be routed to a legal professional for review when needed.</w:t>
      </w:r>
    </w:p>
    <w:p>
      <w:pPr>
        <w:pStyle w:val="BodyText"/>
        <w:spacing w:after="0" w:line="276" w:lineRule="auto"/>
        <w:sectPr>
          <w:headerReference w:type="default" r:id="rId5"/>
          <w:type w:val="continuous"/>
          <w:pgSz w:w="12240" w:h="15840"/>
          <w:pgMar w:header="0" w:footer="0" w:top="1820" w:bottom="280" w:left="1440" w:right="1440"/>
          <w:pgNumType w:start="1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drawing>
          <wp:inline>
            <wp:extent cx="5852160" cy="4018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18266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/>
      <w:pgMar w:header="0" w:footer="0"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4864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25376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5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jpeg"/><Relationship Id="rId7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terms:created xsi:type="dcterms:W3CDTF">2026-09-30T04:45:38Z</dcterms:created>
  <dcterms:modified xsi:type="dcterms:W3CDTF">2026-09-30T04:45:38Z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