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Solution Requirements " w:id="1"/>
      <w:bookmarkEnd w:id="1"/>
      <w:r>
        <w:rPr>
          <w:b w:val="0"/>
        </w:rPr>
      </w:r>
      <w:r>
        <w:rPr/>
        <w:t>Solution</w:t>
      </w:r>
      <w:r>
        <w:rPr>
          <w:spacing w:val="-8"/>
        </w:rPr>
        <w:t xml:space="preserve"> </w:t>
      </w:r>
      <w:r>
        <w:rPr>
          <w:spacing w:val="-2"/>
        </w:rPr>
        <w:t>Requirements</w:t>
      </w:r>
    </w:p>
    <w:p>
      <w:pPr>
        <w:spacing w:line="240" w:lineRule="auto" w:before="0"/>
        <w:rPr>
          <w:b/>
          <w:sz w:val="20"/>
        </w:rPr>
      </w:pPr>
    </w:p>
    <w:p>
      <w:pPr>
        <w:spacing w:line="240" w:lineRule="auto" w:before="98" w:after="0"/>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3220"/>
        <w:gridCol w:w="6120"/>
      </w:tblGrid>
      <w:tr>
        <w:trPr>
          <w:trHeight w:val="460" w:hRule="atLeast"/>
        </w:trPr>
        <w:tc>
          <w:tcPr>
            <w:tcW w:w="3220" w:type="dxa"/>
          </w:tcPr>
          <w:p>
            <w:pPr>
              <w:pStyle w:val="TableParagraph"/>
              <w:spacing w:before="77"/>
              <w:ind w:left="109"/>
              <w:rPr>
                <w:rFonts w:ascii="Times New Roman"/>
                <w:b/>
                <w:sz w:val="24"/>
              </w:rPr>
            </w:pPr>
            <w:r>
              <w:rPr>
                <w:rFonts w:ascii="Times New Roman"/>
                <w:b/>
                <w:spacing w:val="-4"/>
                <w:sz w:val="24"/>
              </w:rPr>
              <w:t>Date</w:t>
            </w:r>
          </w:p>
        </w:tc>
        <w:tc>
          <w:tcPr>
            <w:tcW w:w="6120" w:type="dxa"/>
          </w:tcPr>
          <w:p>
            <w:pPr>
              <w:pStyle w:val="TableParagraph"/>
              <w:spacing w:before="77"/>
              <w:ind w:left="114"/>
              <w:rPr>
                <w:rFonts w:ascii="Times New Roman"/>
                <w:sz w:val="24"/>
              </w:rPr>
            </w:pPr>
            <w:r>
              <w:rPr>
                <w:rFonts w:ascii="Times New Roman"/>
                <w:sz w:val="24"/>
              </w:rPr>
              <w:t>02 October 2026</w:t>
            </w:r>
          </w:p>
        </w:tc>
      </w:tr>
      <w:tr>
        <w:trPr>
          <w:trHeight w:val="460" w:hRule="atLeast"/>
        </w:trPr>
        <w:tc>
          <w:tcPr>
            <w:tcW w:w="3220" w:type="dxa"/>
          </w:tcPr>
          <w:p>
            <w:pPr>
              <w:pStyle w:val="TableParagraph"/>
              <w:spacing w:before="80"/>
              <w:ind w:left="109"/>
              <w:rPr>
                <w:rFonts w:ascii="Times New Roman"/>
                <w:b/>
                <w:sz w:val="24"/>
              </w:rPr>
            </w:pPr>
            <w:r>
              <w:rPr>
                <w:rFonts w:ascii="Times New Roman"/>
                <w:b/>
                <w:spacing w:val="-4"/>
                <w:sz w:val="24"/>
              </w:rPr>
              <w:t>Team</w:t>
            </w:r>
            <w:r>
              <w:rPr>
                <w:rFonts w:ascii="Times New Roman"/>
                <w:b/>
                <w:spacing w:val="-7"/>
                <w:sz w:val="24"/>
              </w:rPr>
              <w:t xml:space="preserve"> </w:t>
            </w:r>
            <w:r>
              <w:rPr>
                <w:rFonts w:ascii="Times New Roman"/>
                <w:b/>
                <w:spacing w:val="-5"/>
                <w:sz w:val="24"/>
              </w:rPr>
              <w:t>ID</w:t>
            </w:r>
          </w:p>
        </w:tc>
        <w:tc>
          <w:tcPr>
            <w:tcW w:w="6120" w:type="dxa"/>
          </w:tcPr>
          <w:p>
            <w:pPr>
              <w:pStyle w:val="TableParagraph"/>
              <w:spacing w:before="80"/>
              <w:ind w:left="114"/>
              <w:rPr>
                <w:rFonts w:ascii="Times New Roman"/>
                <w:sz w:val="24"/>
              </w:rPr>
            </w:pPr>
            <w:r>
              <w:rPr>
                <w:rFonts w:ascii="Times New Roman"/>
                <w:spacing w:val="-2"/>
                <w:sz w:val="24"/>
              </w:rPr>
              <w:t>SWTID-2026-2037</w:t>
            </w:r>
          </w:p>
        </w:tc>
      </w:tr>
      <w:tr>
        <w:trPr>
          <w:trHeight w:val="460" w:hRule="atLeast"/>
        </w:trPr>
        <w:tc>
          <w:tcPr>
            <w:tcW w:w="3220" w:type="dxa"/>
          </w:tcPr>
          <w:p>
            <w:pPr>
              <w:pStyle w:val="TableParagraph"/>
              <w:spacing w:before="82"/>
              <w:ind w:left="109"/>
              <w:rPr>
                <w:rFonts w:ascii="Times New Roman"/>
                <w:b/>
                <w:sz w:val="24"/>
              </w:rPr>
            </w:pPr>
            <w:r>
              <w:rPr>
                <w:rFonts w:ascii="Times New Roman"/>
                <w:b/>
                <w:sz w:val="24"/>
              </w:rPr>
              <w:t>Project</w:t>
            </w:r>
            <w:r>
              <w:rPr>
                <w:rFonts w:ascii="Times New Roman"/>
                <w:b/>
                <w:spacing w:val="-5"/>
                <w:sz w:val="24"/>
              </w:rPr>
              <w:t xml:space="preserve"> </w:t>
            </w:r>
            <w:r>
              <w:rPr>
                <w:rFonts w:ascii="Times New Roman"/>
                <w:b/>
                <w:spacing w:val="-4"/>
                <w:sz w:val="24"/>
              </w:rPr>
              <w:t>Name</w:t>
            </w:r>
          </w:p>
        </w:tc>
        <w:tc>
          <w:tcPr>
            <w:tcW w:w="6120" w:type="dxa"/>
          </w:tcPr>
          <w:p>
            <w:pPr>
              <w:pStyle w:val="TableParagraph"/>
              <w:spacing w:before="82"/>
              <w:ind w:left="114"/>
              <w:rPr>
                <w:rFonts w:ascii="Times New Roman"/>
                <w:sz w:val="24"/>
              </w:rPr>
            </w:pPr>
            <w:r>
              <w:rPr>
                <w:rFonts w:ascii="Times New Roman"/>
                <w:spacing w:val="-2"/>
                <w:sz w:val="24"/>
              </w:rPr>
              <w:t>LegalEase</w:t>
            </w:r>
          </w:p>
        </w:tc>
      </w:tr>
      <w:tr>
        <w:trPr>
          <w:trHeight w:val="460" w:hRule="atLeast"/>
        </w:trPr>
        <w:tc>
          <w:tcPr>
            <w:tcW w:w="3220" w:type="dxa"/>
          </w:tcPr>
          <w:p>
            <w:pPr>
              <w:pStyle w:val="TableParagraph"/>
              <w:spacing w:before="84"/>
              <w:ind w:left="109"/>
              <w:rPr>
                <w:rFonts w:ascii="Times New Roman"/>
                <w:b/>
                <w:sz w:val="24"/>
              </w:rPr>
            </w:pPr>
            <w:r>
              <w:rPr>
                <w:rFonts w:ascii="Times New Roman"/>
                <w:b/>
                <w:sz w:val="24"/>
              </w:rPr>
              <w:t xml:space="preserve">Maximum </w:t>
            </w:r>
            <w:r>
              <w:rPr>
                <w:rFonts w:ascii="Times New Roman"/>
                <w:b/>
                <w:spacing w:val="-2"/>
                <w:sz w:val="24"/>
              </w:rPr>
              <w:t>Marks</w:t>
            </w:r>
          </w:p>
        </w:tc>
        <w:tc>
          <w:tcPr>
            <w:tcW w:w="6120" w:type="dxa"/>
          </w:tcPr>
          <w:p>
            <w:pPr>
              <w:pStyle w:val="TableParagraph"/>
              <w:spacing w:before="84"/>
              <w:ind w:left="114"/>
              <w:rPr>
                <w:rFonts w:ascii="Times New Roman"/>
                <w:sz w:val="24"/>
              </w:rPr>
            </w:pPr>
            <w:r>
              <w:rPr>
                <w:rFonts w:ascii="Times New Roman"/>
                <w:sz w:val="24"/>
              </w:rPr>
              <w:t xml:space="preserve">4 </w:t>
            </w:r>
            <w:r>
              <w:rPr>
                <w:rFonts w:ascii="Times New Roman"/>
                <w:spacing w:val="-2"/>
                <w:sz w:val="24"/>
              </w:rPr>
              <w:t>Marks</w:t>
            </w:r>
          </w:p>
        </w:tc>
      </w:tr>
    </w:tbl>
    <w:p>
      <w:pPr>
        <w:spacing w:line="240" w:lineRule="auto" w:before="0"/>
        <w:rPr>
          <w:b/>
          <w:sz w:val="22"/>
        </w:rPr>
      </w:pPr>
    </w:p>
    <w:p>
      <w:pPr>
        <w:spacing w:line="240" w:lineRule="auto" w:before="37"/>
        <w:rPr>
          <w:b/>
          <w:sz w:val="22"/>
        </w:rPr>
      </w:pPr>
    </w:p>
    <w:p>
      <w:pPr>
        <w:pStyle w:val="Heading2"/>
      </w:pPr>
      <w:r>
        <w:rPr/>
        <w:t>Define</w:t>
      </w:r>
      <w:r>
        <w:rPr>
          <w:spacing w:val="-9"/>
        </w:rPr>
        <w:t xml:space="preserve"> </w:t>
      </w:r>
      <w:r>
        <w:rPr/>
        <w:t>Functional</w:t>
      </w:r>
      <w:r>
        <w:rPr>
          <w:spacing w:val="-8"/>
        </w:rPr>
        <w:t xml:space="preserve"> </w:t>
      </w:r>
      <w:r>
        <w:rPr/>
        <w:t>and</w:t>
      </w:r>
      <w:r>
        <w:rPr>
          <w:spacing w:val="-8"/>
        </w:rPr>
        <w:t xml:space="preserve"> </w:t>
      </w:r>
      <w:r>
        <w:rPr/>
        <w:t>Non-Functional</w:t>
      </w:r>
      <w:r>
        <w:rPr>
          <w:spacing w:val="-8"/>
        </w:rPr>
        <w:t xml:space="preserve"> </w:t>
      </w:r>
      <w:r>
        <w:rPr>
          <w:spacing w:val="-2"/>
        </w:rPr>
        <w:t>Requirements:</w:t>
      </w:r>
    </w:p>
    <w:p>
      <w:pPr>
        <w:spacing w:line="240" w:lineRule="auto" w:before="25"/>
        <w:rPr>
          <w:b/>
          <w:sz w:val="22"/>
        </w:rPr>
      </w:pPr>
    </w:p>
    <w:p>
      <w:pPr>
        <w:pStyle w:val="BodyText"/>
        <w:spacing w:line="276" w:lineRule="auto"/>
        <w:ind w:right="130"/>
      </w:pPr>
      <w:r>
        <w:rPr/>
        <w:t>Create</w:t>
      </w:r>
      <w:r>
        <w:rPr>
          <w:spacing w:val="-4"/>
        </w:rPr>
        <w:t xml:space="preserve"> </w:t>
      </w:r>
      <w:r>
        <w:rPr/>
        <w:t>a</w:t>
      </w:r>
      <w:r>
        <w:rPr>
          <w:spacing w:val="-4"/>
        </w:rPr>
        <w:t xml:space="preserve"> </w:t>
      </w:r>
      <w:r>
        <w:rPr/>
        <w:t>comprehensive</w:t>
      </w:r>
      <w:r>
        <w:rPr>
          <w:spacing w:val="-4"/>
        </w:rPr>
        <w:t xml:space="preserve"> </w:t>
      </w:r>
      <w:r>
        <w:rPr/>
        <w:t>list</w:t>
      </w:r>
      <w:r>
        <w:rPr>
          <w:spacing w:val="-4"/>
        </w:rPr>
        <w:t xml:space="preserve"> </w:t>
      </w:r>
      <w:r>
        <w:rPr/>
        <w:t>of</w:t>
      </w:r>
      <w:r>
        <w:rPr>
          <w:spacing w:val="-4"/>
        </w:rPr>
        <w:t xml:space="preserve"> </w:t>
      </w:r>
      <w:r>
        <w:rPr/>
        <w:t>requirements</w:t>
      </w:r>
      <w:r>
        <w:rPr>
          <w:spacing w:val="-4"/>
        </w:rPr>
        <w:t xml:space="preserve"> </w:t>
      </w:r>
      <w:r>
        <w:rPr/>
        <w:t>to</w:t>
      </w:r>
      <w:r>
        <w:rPr>
          <w:spacing w:val="-4"/>
        </w:rPr>
        <w:t xml:space="preserve"> </w:t>
      </w:r>
      <w:r>
        <w:rPr/>
        <w:t>define</w:t>
      </w:r>
      <w:r>
        <w:rPr>
          <w:spacing w:val="-4"/>
        </w:rPr>
        <w:t xml:space="preserve"> </w:t>
      </w:r>
      <w:r>
        <w:rPr/>
        <w:t>exactly</w:t>
      </w:r>
      <w:r>
        <w:rPr>
          <w:spacing w:val="-4"/>
        </w:rPr>
        <w:t xml:space="preserve"> </w:t>
      </w:r>
      <w:r>
        <w:rPr/>
        <w:t>what</w:t>
      </w:r>
      <w:r>
        <w:rPr>
          <w:spacing w:val="-4"/>
        </w:rPr>
        <w:t xml:space="preserve"> </w:t>
      </w:r>
      <w:r>
        <w:rPr/>
        <w:t>your</w:t>
      </w:r>
      <w:r>
        <w:rPr>
          <w:spacing w:val="-4"/>
        </w:rPr>
        <w:t xml:space="preserve"> </w:t>
      </w:r>
      <w:r>
        <w:rPr/>
        <w:t>solution</w:t>
      </w:r>
      <w:r>
        <w:rPr>
          <w:spacing w:val="-4"/>
        </w:rPr>
        <w:t xml:space="preserve"> </w:t>
      </w:r>
      <w:r>
        <w:rPr/>
        <w:t>will</w:t>
      </w:r>
      <w:r>
        <w:rPr>
          <w:spacing w:val="-4"/>
        </w:rPr>
        <w:t xml:space="preserve"> </w:t>
      </w:r>
      <w:r>
        <w:rPr/>
        <w:t>do</w:t>
      </w:r>
      <w:r>
        <w:rPr>
          <w:spacing w:val="-4"/>
        </w:rPr>
        <w:t xml:space="preserve"> </w:t>
      </w:r>
      <w:r>
        <w:rPr/>
        <w:t>and how well it will perform.</w:t>
      </w:r>
    </w:p>
    <w:p>
      <w:pPr>
        <w:pStyle w:val="ListParagraph"/>
        <w:numPr>
          <w:ilvl w:val="0"/>
          <w:numId w:val="1"/>
        </w:numPr>
        <w:tabs>
          <w:tab w:pos="720" w:val="left" w:leader="none"/>
        </w:tabs>
        <w:spacing w:line="276" w:lineRule="auto" w:before="240" w:after="0"/>
        <w:ind w:left="720" w:right="244" w:hanging="360"/>
        <w:jc w:val="left"/>
        <w:rPr>
          <w:sz w:val="22"/>
        </w:rPr>
      </w:pPr>
      <w:r>
        <w:rPr>
          <w:rFonts w:ascii="Arial" w:hAnsi="Arial"/>
          <w:b/>
          <w:sz w:val="22"/>
        </w:rPr>
        <w:t>Functional</w:t>
      </w:r>
      <w:r>
        <w:rPr>
          <w:rFonts w:ascii="Arial" w:hAnsi="Arial"/>
          <w:b/>
          <w:spacing w:val="-5"/>
          <w:sz w:val="22"/>
        </w:rPr>
        <w:t xml:space="preserve"> </w:t>
      </w:r>
      <w:r>
        <w:rPr>
          <w:rFonts w:ascii="Arial" w:hAnsi="Arial"/>
          <w:b/>
          <w:sz w:val="22"/>
        </w:rPr>
        <w:t>Requirements</w:t>
      </w:r>
      <w:r>
        <w:rPr>
          <w:rFonts w:ascii="Arial" w:hAnsi="Arial"/>
          <w:b/>
          <w:spacing w:val="-5"/>
          <w:sz w:val="22"/>
        </w:rPr>
        <w:t xml:space="preserve"> </w:t>
      </w:r>
      <w:r>
        <w:rPr>
          <w:rFonts w:ascii="Arial" w:hAnsi="Arial"/>
          <w:b/>
          <w:sz w:val="22"/>
        </w:rPr>
        <w:t>(FR)</w:t>
      </w:r>
      <w:r>
        <w:rPr>
          <w:rFonts w:ascii="Arial" w:hAnsi="Arial"/>
          <w:b/>
          <w:spacing w:val="-5"/>
          <w:sz w:val="22"/>
        </w:rPr>
        <w:t xml:space="preserve"> </w:t>
      </w:r>
      <w:r>
        <w:rPr>
          <w:sz w:val="22"/>
        </w:rPr>
        <w:t>define</w:t>
      </w:r>
      <w:r>
        <w:rPr>
          <w:spacing w:val="-5"/>
          <w:sz w:val="22"/>
        </w:rPr>
        <w:t xml:space="preserve"> </w:t>
      </w:r>
      <w:r>
        <w:rPr>
          <w:sz w:val="22"/>
        </w:rPr>
        <w:t>specific</w:t>
      </w:r>
      <w:r>
        <w:rPr>
          <w:spacing w:val="-5"/>
          <w:sz w:val="22"/>
        </w:rPr>
        <w:t xml:space="preserve"> </w:t>
      </w:r>
      <w:r>
        <w:rPr>
          <w:sz w:val="22"/>
        </w:rPr>
        <w:t>behaviors,</w:t>
      </w:r>
      <w:r>
        <w:rPr>
          <w:spacing w:val="-5"/>
          <w:sz w:val="22"/>
        </w:rPr>
        <w:t xml:space="preserve"> </w:t>
      </w:r>
      <w:r>
        <w:rPr>
          <w:sz w:val="22"/>
        </w:rPr>
        <w:t>functions,</w:t>
      </w:r>
      <w:r>
        <w:rPr>
          <w:spacing w:val="-5"/>
          <w:sz w:val="22"/>
        </w:rPr>
        <w:t xml:space="preserve"> </w:t>
      </w:r>
      <w:r>
        <w:rPr>
          <w:sz w:val="22"/>
        </w:rPr>
        <w:t>or</w:t>
      </w:r>
      <w:r>
        <w:rPr>
          <w:spacing w:val="-5"/>
          <w:sz w:val="22"/>
        </w:rPr>
        <w:t xml:space="preserve"> </w:t>
      </w:r>
      <w:r>
        <w:rPr>
          <w:sz w:val="22"/>
        </w:rPr>
        <w:t>features</w:t>
      </w:r>
      <w:r>
        <w:rPr>
          <w:spacing w:val="-5"/>
          <w:sz w:val="22"/>
        </w:rPr>
        <w:t xml:space="preserve"> </w:t>
      </w:r>
      <w:r>
        <w:rPr>
          <w:sz w:val="22"/>
        </w:rPr>
        <w:t>of</w:t>
      </w:r>
      <w:r>
        <w:rPr>
          <w:spacing w:val="-5"/>
          <w:sz w:val="22"/>
        </w:rPr>
        <w:t xml:space="preserve"> </w:t>
      </w:r>
      <w:r>
        <w:rPr>
          <w:sz w:val="22"/>
        </w:rPr>
        <w:t xml:space="preserve">the system (What the system should </w:t>
      </w:r>
      <w:r>
        <w:rPr>
          <w:rFonts w:ascii="Arial" w:hAnsi="Arial"/>
          <w:i/>
          <w:sz w:val="22"/>
        </w:rPr>
        <w:t>do</w:t>
      </w:r>
      <w:r>
        <w:rPr>
          <w:sz w:val="22"/>
        </w:rPr>
        <w:t>).</w:t>
      </w:r>
    </w:p>
    <w:p>
      <w:pPr>
        <w:pStyle w:val="ListParagraph"/>
        <w:numPr>
          <w:ilvl w:val="0"/>
          <w:numId w:val="1"/>
        </w:numPr>
        <w:tabs>
          <w:tab w:pos="720" w:val="left" w:leader="none"/>
        </w:tabs>
        <w:spacing w:line="276" w:lineRule="auto" w:before="0" w:after="0"/>
        <w:ind w:left="720" w:right="207" w:hanging="360"/>
        <w:jc w:val="left"/>
        <w:rPr>
          <w:sz w:val="22"/>
        </w:rPr>
      </w:pPr>
      <w:r>
        <w:rPr>
          <w:rFonts w:ascii="Arial" w:hAnsi="Arial"/>
          <w:b/>
          <w:sz w:val="22"/>
        </w:rPr>
        <w:t>Non-Functional</w:t>
      </w:r>
      <w:r>
        <w:rPr>
          <w:rFonts w:ascii="Arial" w:hAnsi="Arial"/>
          <w:b/>
          <w:spacing w:val="-4"/>
          <w:sz w:val="22"/>
        </w:rPr>
        <w:t xml:space="preserve"> </w:t>
      </w:r>
      <w:r>
        <w:rPr>
          <w:rFonts w:ascii="Arial" w:hAnsi="Arial"/>
          <w:b/>
          <w:sz w:val="22"/>
        </w:rPr>
        <w:t>Requirements</w:t>
      </w:r>
      <w:r>
        <w:rPr>
          <w:rFonts w:ascii="Arial" w:hAnsi="Arial"/>
          <w:b/>
          <w:spacing w:val="-4"/>
          <w:sz w:val="22"/>
        </w:rPr>
        <w:t xml:space="preserve"> </w:t>
      </w:r>
      <w:r>
        <w:rPr>
          <w:rFonts w:ascii="Arial" w:hAnsi="Arial"/>
          <w:b/>
          <w:sz w:val="22"/>
        </w:rPr>
        <w:t>(NFR)</w:t>
      </w:r>
      <w:r>
        <w:rPr>
          <w:rFonts w:ascii="Arial" w:hAnsi="Arial"/>
          <w:b/>
          <w:spacing w:val="-4"/>
          <w:sz w:val="22"/>
        </w:rPr>
        <w:t xml:space="preserve"> </w:t>
      </w:r>
      <w:r>
        <w:rPr>
          <w:sz w:val="22"/>
        </w:rPr>
        <w:t>specify</w:t>
      </w:r>
      <w:r>
        <w:rPr>
          <w:spacing w:val="-4"/>
          <w:sz w:val="22"/>
        </w:rPr>
        <w:t xml:space="preserve"> </w:t>
      </w:r>
      <w:r>
        <w:rPr>
          <w:sz w:val="22"/>
        </w:rPr>
        <w:t>the</w:t>
      </w:r>
      <w:r>
        <w:rPr>
          <w:spacing w:val="-4"/>
          <w:sz w:val="22"/>
        </w:rPr>
        <w:t xml:space="preserve"> </w:t>
      </w:r>
      <w:r>
        <w:rPr>
          <w:sz w:val="22"/>
        </w:rPr>
        <w:t>criteria</w:t>
      </w:r>
      <w:r>
        <w:rPr>
          <w:spacing w:val="-4"/>
          <w:sz w:val="22"/>
        </w:rPr>
        <w:t xml:space="preserve"> </w:t>
      </w:r>
      <w:r>
        <w:rPr>
          <w:sz w:val="22"/>
        </w:rPr>
        <w:t>that</w:t>
      </w:r>
      <w:r>
        <w:rPr>
          <w:spacing w:val="-4"/>
          <w:sz w:val="22"/>
        </w:rPr>
        <w:t xml:space="preserve"> </w:t>
      </w:r>
      <w:r>
        <w:rPr>
          <w:sz w:val="22"/>
        </w:rPr>
        <w:t>judge</w:t>
      </w:r>
      <w:r>
        <w:rPr>
          <w:spacing w:val="-4"/>
          <w:sz w:val="22"/>
        </w:rPr>
        <w:t xml:space="preserve"> </w:t>
      </w:r>
      <w:r>
        <w:rPr>
          <w:sz w:val="22"/>
        </w:rPr>
        <w:t>the</w:t>
      </w:r>
      <w:r>
        <w:rPr>
          <w:spacing w:val="-4"/>
          <w:sz w:val="22"/>
        </w:rPr>
        <w:t xml:space="preserve"> </w:t>
      </w:r>
      <w:r>
        <w:rPr>
          <w:sz w:val="22"/>
        </w:rPr>
        <w:t>operation</w:t>
      </w:r>
      <w:r>
        <w:rPr>
          <w:spacing w:val="-4"/>
          <w:sz w:val="22"/>
        </w:rPr>
        <w:t xml:space="preserve"> </w:t>
      </w:r>
      <w:r>
        <w:rPr>
          <w:sz w:val="22"/>
        </w:rPr>
        <w:t>of</w:t>
      </w:r>
      <w:r>
        <w:rPr>
          <w:spacing w:val="-4"/>
          <w:sz w:val="22"/>
        </w:rPr>
        <w:t xml:space="preserve"> </w:t>
      </w:r>
      <w:r>
        <w:rPr>
          <w:sz w:val="22"/>
        </w:rPr>
        <w:t xml:space="preserve">a system, rather than specific behaviors (How the system should </w:t>
      </w:r>
      <w:r>
        <w:rPr>
          <w:rFonts w:ascii="Arial" w:hAnsi="Arial"/>
          <w:i/>
          <w:sz w:val="22"/>
        </w:rPr>
        <w:t>be</w:t>
      </w:r>
      <w:r>
        <w:rPr>
          <w:sz w:val="22"/>
        </w:rPr>
        <w:t>).</w:t>
      </w:r>
    </w:p>
    <w:p>
      <w:pPr>
        <w:pStyle w:val="BodyText"/>
        <w:spacing w:before="240"/>
      </w:pPr>
      <w:r>
        <w:rPr/>
        <w:t>Fill</w:t>
      </w:r>
      <w:r>
        <w:rPr>
          <w:spacing w:val="-6"/>
        </w:rPr>
        <w:t xml:space="preserve"> </w:t>
      </w:r>
      <w:r>
        <w:rPr/>
        <w:t>out</w:t>
      </w:r>
      <w:r>
        <w:rPr>
          <w:spacing w:val="-6"/>
        </w:rPr>
        <w:t xml:space="preserve"> </w:t>
      </w:r>
      <w:r>
        <w:rPr/>
        <w:t>the</w:t>
      </w:r>
      <w:r>
        <w:rPr>
          <w:spacing w:val="-6"/>
        </w:rPr>
        <w:t xml:space="preserve"> </w:t>
      </w:r>
      <w:r>
        <w:rPr/>
        <w:t>descriptions</w:t>
      </w:r>
      <w:r>
        <w:rPr>
          <w:spacing w:val="-6"/>
        </w:rPr>
        <w:t xml:space="preserve"> </w:t>
      </w:r>
      <w:r>
        <w:rPr/>
        <w:t>and</w:t>
      </w:r>
      <w:r>
        <w:rPr>
          <w:spacing w:val="-6"/>
        </w:rPr>
        <w:t xml:space="preserve"> </w:t>
      </w:r>
      <w:r>
        <w:rPr/>
        <w:t>necessary</w:t>
      </w:r>
      <w:r>
        <w:rPr>
          <w:spacing w:val="-5"/>
        </w:rPr>
        <w:t xml:space="preserve"> </w:t>
      </w:r>
      <w:r>
        <w:rPr/>
        <w:t>details</w:t>
      </w:r>
      <w:r>
        <w:rPr>
          <w:spacing w:val="-6"/>
        </w:rPr>
        <w:t xml:space="preserve"> </w:t>
      </w:r>
      <w:r>
        <w:rPr/>
        <w:t>for</w:t>
      </w:r>
      <w:r>
        <w:rPr>
          <w:spacing w:val="-6"/>
        </w:rPr>
        <w:t xml:space="preserve"> </w:t>
      </w:r>
      <w:r>
        <w:rPr/>
        <w:t>each</w:t>
      </w:r>
      <w:r>
        <w:rPr>
          <w:spacing w:val="-6"/>
        </w:rPr>
        <w:t xml:space="preserve"> </w:t>
      </w:r>
      <w:r>
        <w:rPr/>
        <w:t>category</w:t>
      </w:r>
      <w:r>
        <w:rPr>
          <w:spacing w:val="-6"/>
        </w:rPr>
        <w:t xml:space="preserve"> </w:t>
      </w:r>
      <w:r>
        <w:rPr/>
        <w:t>provided</w:t>
      </w:r>
      <w:r>
        <w:rPr>
          <w:spacing w:val="-5"/>
        </w:rPr>
        <w:t xml:space="preserve"> </w:t>
      </w:r>
      <w:r>
        <w:rPr>
          <w:spacing w:val="-2"/>
        </w:rPr>
        <w:t>below.</w:t>
      </w:r>
    </w:p>
    <w:p>
      <w:pPr>
        <w:pStyle w:val="BodyText"/>
        <w:spacing w:before="25"/>
      </w:pPr>
    </w:p>
    <w:p>
      <w:pPr>
        <w:pStyle w:val="Heading2"/>
      </w:pPr>
      <w:bookmarkStart w:name="Step 1: Functional Requirements (FR) " w:id="2"/>
      <w:bookmarkEnd w:id="2"/>
      <w:r>
        <w:rPr>
          <w:b w:val="0"/>
        </w:rPr>
      </w:r>
      <w:r>
        <w:rPr/>
        <w:t>Step</w:t>
      </w:r>
      <w:r>
        <w:rPr>
          <w:spacing w:val="-7"/>
        </w:rPr>
        <w:t xml:space="preserve"> </w:t>
      </w:r>
      <w:r>
        <w:rPr/>
        <w:t>1:</w:t>
      </w:r>
      <w:r>
        <w:rPr>
          <w:spacing w:val="-7"/>
        </w:rPr>
        <w:t xml:space="preserve"> </w:t>
      </w:r>
      <w:r>
        <w:rPr/>
        <w:t>Functional</w:t>
      </w:r>
      <w:r>
        <w:rPr>
          <w:spacing w:val="-7"/>
        </w:rPr>
        <w:t xml:space="preserve"> </w:t>
      </w:r>
      <w:r>
        <w:rPr/>
        <w:t>Requirements</w:t>
      </w:r>
      <w:r>
        <w:rPr>
          <w:spacing w:val="-7"/>
        </w:rPr>
        <w:t xml:space="preserve"> </w:t>
      </w:r>
      <w:r>
        <w:rPr>
          <w:spacing w:val="-4"/>
        </w:rPr>
        <w:t>(FR)</w:t>
      </w:r>
    </w:p>
    <w:p>
      <w:pPr>
        <w:spacing w:line="240" w:lineRule="auto" w:before="7"/>
        <w:rPr>
          <w:b/>
          <w:sz w:val="6"/>
        </w:r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060"/>
        <w:gridCol w:w="3140"/>
        <w:gridCol w:w="2660"/>
      </w:tblGrid>
      <w:tr>
        <w:trPr>
          <w:trHeight w:val="1279" w:hRule="atLeast"/>
        </w:trPr>
        <w:tc>
          <w:tcPr>
            <w:tcW w:w="920" w:type="dxa"/>
          </w:tcPr>
          <w:p>
            <w:pPr>
              <w:pStyle w:val="TableParagraph"/>
              <w:spacing w:before="116"/>
              <w:ind w:left="169"/>
              <w:rPr>
                <w:b/>
                <w:sz w:val="22"/>
              </w:rPr>
            </w:pPr>
            <w:r>
              <w:rPr>
                <w:b/>
                <w:spacing w:val="-4"/>
                <w:sz w:val="22"/>
              </w:rPr>
              <w:t>S.No</w:t>
            </w:r>
          </w:p>
        </w:tc>
        <w:tc>
          <w:tcPr>
            <w:tcW w:w="2060" w:type="dxa"/>
          </w:tcPr>
          <w:p>
            <w:pPr>
              <w:pStyle w:val="TableParagraph"/>
              <w:spacing w:line="276" w:lineRule="auto" w:before="116"/>
              <w:ind w:left="179"/>
              <w:rPr>
                <w:b/>
                <w:sz w:val="22"/>
              </w:rPr>
            </w:pPr>
            <w:r>
              <w:rPr>
                <w:b/>
                <w:spacing w:val="-2"/>
                <w:sz w:val="22"/>
              </w:rPr>
              <w:t>Requirement Category</w:t>
            </w:r>
          </w:p>
        </w:tc>
        <w:tc>
          <w:tcPr>
            <w:tcW w:w="3140" w:type="dxa"/>
          </w:tcPr>
          <w:p>
            <w:pPr>
              <w:pStyle w:val="TableParagraph"/>
              <w:spacing w:before="116"/>
              <w:rPr>
                <w:b/>
                <w:sz w:val="22"/>
              </w:rPr>
            </w:pPr>
            <w:r>
              <w:rPr>
                <w:b/>
                <w:sz w:val="22"/>
              </w:rPr>
              <w:t>Requirement</w:t>
            </w:r>
            <w:r>
              <w:rPr>
                <w:b/>
                <w:spacing w:val="-11"/>
                <w:sz w:val="22"/>
              </w:rPr>
              <w:t xml:space="preserve"> </w:t>
            </w:r>
            <w:r>
              <w:rPr>
                <w:b/>
                <w:spacing w:val="-2"/>
                <w:sz w:val="22"/>
              </w:rPr>
              <w:t>Description</w:t>
            </w:r>
          </w:p>
        </w:tc>
        <w:tc>
          <w:tcPr>
            <w:tcW w:w="2660" w:type="dxa"/>
          </w:tcPr>
          <w:p>
            <w:pPr>
              <w:pStyle w:val="TableParagraph"/>
              <w:spacing w:line="276" w:lineRule="auto" w:before="116"/>
              <w:ind w:left="169" w:right="440"/>
              <w:rPr>
                <w:b/>
                <w:sz w:val="22"/>
              </w:rPr>
            </w:pPr>
            <w:r>
              <w:rPr>
                <w:b/>
                <w:spacing w:val="-2"/>
                <w:sz w:val="22"/>
              </w:rPr>
              <w:t>Priority (High/Medium/Low)</w:t>
            </w:r>
          </w:p>
        </w:tc>
      </w:tr>
      <w:tr>
        <w:trPr>
          <w:trHeight w:val="1600" w:hRule="atLeast"/>
        </w:trPr>
        <w:tc>
          <w:tcPr>
            <w:tcW w:w="920" w:type="dxa"/>
          </w:tcPr>
          <w:p>
            <w:pPr>
              <w:pStyle w:val="TableParagraph"/>
              <w:spacing w:before="133"/>
              <w:ind w:left="169"/>
              <w:rPr>
                <w:b/>
                <w:sz w:val="22"/>
              </w:rPr>
            </w:pPr>
            <w:r>
              <w:rPr>
                <w:b/>
                <w:spacing w:val="-10"/>
                <w:sz w:val="22"/>
              </w:rPr>
              <w:t>1</w:t>
            </w:r>
          </w:p>
        </w:tc>
        <w:tc>
          <w:tcPr>
            <w:tcW w:w="2060" w:type="dxa"/>
          </w:tcPr>
          <w:p>
            <w:pPr>
              <w:pStyle w:val="TableParagraph"/>
              <w:spacing w:before="133"/>
              <w:ind w:left="179"/>
              <w:rPr>
                <w:rFonts w:ascii="Arial MT"/>
                <w:sz w:val="22"/>
              </w:rPr>
            </w:pPr>
            <w:r>
              <w:rPr>
                <w:rFonts w:ascii="Arial MT"/>
                <w:spacing w:val="-2"/>
                <w:sz w:val="22"/>
              </w:rPr>
              <w:t>Authentication</w:t>
            </w:r>
          </w:p>
        </w:tc>
        <w:tc>
          <w:tcPr>
            <w:tcW w:w="3140" w:type="dxa"/>
          </w:tcPr>
          <w:p>
            <w:pPr>
              <w:pStyle w:val="TableParagraph"/>
              <w:spacing w:line="276" w:lineRule="auto" w:before="133"/>
              <w:rPr>
                <w:i/>
                <w:sz w:val="22"/>
              </w:rPr>
            </w:pPr>
            <w:r>
              <w:rPr>
                <w:i/>
                <w:sz w:val="22"/>
              </w:rPr>
              <w:t>User-friendly LegalEase demo app for exploring legal information and guidance. Any AI/API credentials are held server-side and never exposed to the client.</w:t>
            </w:r>
          </w:p>
        </w:tc>
        <w:tc>
          <w:tcPr>
            <w:tcW w:w="2660" w:type="dxa"/>
          </w:tcPr>
          <w:p>
            <w:pPr>
              <w:pStyle w:val="TableParagraph"/>
              <w:ind w:left="0"/>
              <w:rPr>
                <w:rFonts w:ascii="Times New Roman"/>
                <w:sz w:val="22"/>
              </w:rPr>
            </w:pPr>
            <w:r>
              <w:rPr>
                <w:rFonts w:ascii="Times New Roman"/>
                <w:sz w:val="22"/>
              </w:rPr>
              <w:t>High</w:t>
            </w:r>
          </w:p>
        </w:tc>
      </w:tr>
      <w:tr>
        <w:trPr>
          <w:trHeight w:val="1580" w:hRule="atLeast"/>
        </w:trPr>
        <w:tc>
          <w:tcPr>
            <w:tcW w:w="920" w:type="dxa"/>
          </w:tcPr>
          <w:p>
            <w:pPr>
              <w:pStyle w:val="TableParagraph"/>
              <w:spacing w:before="121"/>
              <w:ind w:left="169"/>
              <w:rPr>
                <w:b/>
                <w:sz w:val="22"/>
              </w:rPr>
            </w:pPr>
            <w:r>
              <w:rPr>
                <w:b/>
                <w:spacing w:val="-10"/>
                <w:sz w:val="22"/>
              </w:rPr>
              <w:t>2</w:t>
            </w:r>
          </w:p>
        </w:tc>
        <w:tc>
          <w:tcPr>
            <w:tcW w:w="2060" w:type="dxa"/>
          </w:tcPr>
          <w:p>
            <w:pPr>
              <w:pStyle w:val="TableParagraph"/>
              <w:spacing w:line="276" w:lineRule="auto" w:before="121"/>
              <w:ind w:left="179" w:right="365"/>
              <w:rPr>
                <w:rFonts w:ascii="Arial MT"/>
                <w:sz w:val="22"/>
              </w:rPr>
            </w:pPr>
            <w:r>
              <w:rPr>
                <w:rFonts w:ascii="Arial MT"/>
                <w:spacing w:val="-2"/>
                <w:sz w:val="22"/>
              </w:rPr>
              <w:t>Authorization levels</w:t>
            </w:r>
          </w:p>
        </w:tc>
        <w:tc>
          <w:tcPr>
            <w:tcW w:w="3140" w:type="dxa"/>
          </w:tcPr>
          <w:p>
            <w:pPr>
              <w:pStyle w:val="TableParagraph"/>
              <w:spacing w:line="276" w:lineRule="auto" w:before="121"/>
              <w:ind w:right="241"/>
              <w:rPr>
                <w:i/>
                <w:sz w:val="22"/>
              </w:rPr>
            </w:pPr>
            <w:r>
              <w:rPr>
                <w:i/>
                <w:sz w:val="22"/>
              </w:rPr>
              <w:t>Two access levels: Public User, who can search legal topics, view simplified explanations and guidance, and Developer, who maintains the application and deploys updates. User data is minimized and protected.</w:t>
            </w:r>
          </w:p>
        </w:tc>
        <w:tc>
          <w:tcPr>
            <w:tcW w:w="2660" w:type="dxa"/>
          </w:tcPr>
          <w:p>
            <w:pPr>
              <w:pStyle w:val="TableParagraph"/>
              <w:ind w:left="0"/>
              <w:rPr>
                <w:rFonts w:ascii="Times New Roman"/>
                <w:sz w:val="22"/>
              </w:rPr>
            </w:pPr>
            <w:r>
              <w:rPr>
                <w:rFonts w:ascii="Times New Roman"/>
                <w:sz w:val="22"/>
              </w:rPr>
              <w:t>Medium</w:t>
            </w:r>
          </w:p>
        </w:tc>
      </w:tr>
      <w:tr>
        <w:trPr>
          <w:trHeight w:val="1359" w:hRule="atLeast"/>
        </w:trPr>
        <w:tc>
          <w:tcPr>
            <w:tcW w:w="920" w:type="dxa"/>
          </w:tcPr>
          <w:p>
            <w:pPr>
              <w:pStyle w:val="TableParagraph"/>
              <w:spacing w:before="128"/>
              <w:ind w:left="169"/>
              <w:rPr>
                <w:b/>
                <w:sz w:val="22"/>
              </w:rPr>
            </w:pPr>
            <w:r>
              <w:rPr>
                <w:b/>
                <w:spacing w:val="-10"/>
                <w:sz w:val="22"/>
              </w:rPr>
              <w:t>3</w:t>
            </w:r>
          </w:p>
        </w:tc>
        <w:tc>
          <w:tcPr>
            <w:tcW w:w="2060" w:type="dxa"/>
          </w:tcPr>
          <w:p>
            <w:pPr>
              <w:pStyle w:val="TableParagraph"/>
              <w:spacing w:line="276" w:lineRule="auto" w:before="128"/>
              <w:ind w:left="179" w:right="365"/>
              <w:rPr>
                <w:rFonts w:ascii="Arial MT"/>
                <w:sz w:val="22"/>
              </w:rPr>
            </w:pPr>
            <w:r>
              <w:rPr>
                <w:rFonts w:ascii="Arial MT"/>
                <w:spacing w:val="-2"/>
                <w:sz w:val="22"/>
              </w:rPr>
              <w:t>External interfaces</w:t>
            </w:r>
          </w:p>
        </w:tc>
        <w:tc>
          <w:tcPr>
            <w:tcW w:w="3140" w:type="dxa"/>
          </w:tcPr>
          <w:p>
            <w:pPr>
              <w:pStyle w:val="TableParagraph"/>
              <w:spacing w:line="276" w:lineRule="auto" w:before="128"/>
              <w:rPr>
                <w:i/>
                <w:sz w:val="22"/>
              </w:rPr>
            </w:pPr>
            <w:r>
              <w:rPr>
                <w:i/>
                <w:sz w:val="22"/>
              </w:rPr>
              <w:t>AI language service for generating clear legal explanations, Google Cloud Run/Cloud Build for hosting, and a simple web interface consuming the backend REST endpoints.</w:t>
            </w:r>
          </w:p>
        </w:tc>
        <w:tc>
          <w:tcPr>
            <w:tcW w:w="2660" w:type="dxa"/>
          </w:tcPr>
          <w:p>
            <w:pPr>
              <w:pStyle w:val="TableParagraph"/>
              <w:ind w:left="0"/>
              <w:rPr>
                <w:rFonts w:ascii="Times New Roman"/>
                <w:sz w:val="22"/>
              </w:rPr>
            </w:pPr>
            <w:r>
              <w:rPr>
                <w:rFonts w:ascii="Times New Roman"/>
                <w:sz w:val="22"/>
              </w:rPr>
              <w:t>High</w:t>
            </w:r>
          </w:p>
        </w:tc>
      </w:tr>
    </w:tbl>
    <w:p>
      <w:pPr>
        <w:pStyle w:val="TableParagraph"/>
        <w:spacing w:after="0"/>
        <w:rPr>
          <w:rFonts w:ascii="Times New Roman"/>
          <w:sz w:val="22"/>
        </w:rPr>
        <w:sectPr>
          <w:headerReference w:type="default" r:id="rId5"/>
          <w:footerReference w:type="default" r:id="rId7"/>
          <w:type w:val="continuous"/>
          <w:pgSz w:w="12240" w:h="15840"/>
          <w:pgMar w:header="0" w:footer="0" w:top="1440" w:bottom="862" w:left="1440" w:right="1440"/>
          <w:pgNumType w:start="1"/>
        </w:sect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060"/>
        <w:gridCol w:w="3140"/>
        <w:gridCol w:w="2660"/>
      </w:tblGrid>
      <w:tr>
        <w:trPr>
          <w:trHeight w:val="1879" w:hRule="atLeast"/>
        </w:trPr>
        <w:tc>
          <w:tcPr>
            <w:tcW w:w="920" w:type="dxa"/>
          </w:tcPr>
          <w:p>
            <w:pPr>
              <w:pStyle w:val="TableParagraph"/>
              <w:spacing w:before="132"/>
              <w:ind w:left="169"/>
              <w:rPr>
                <w:b/>
                <w:sz w:val="22"/>
              </w:rPr>
            </w:pPr>
            <w:r>
              <w:rPr>
                <w:b/>
                <w:spacing w:val="-10"/>
                <w:sz w:val="22"/>
              </w:rPr>
              <w:t>4</w:t>
            </w:r>
          </w:p>
        </w:tc>
        <w:tc>
          <w:tcPr>
            <w:tcW w:w="2060" w:type="dxa"/>
          </w:tcPr>
          <w:p>
            <w:pPr>
              <w:pStyle w:val="TableParagraph"/>
              <w:spacing w:line="276" w:lineRule="auto" w:before="132"/>
              <w:ind w:left="179" w:right="605"/>
              <w:rPr>
                <w:rFonts w:ascii="Arial MT"/>
                <w:sz w:val="22"/>
              </w:rPr>
            </w:pPr>
            <w:r>
              <w:rPr>
                <w:rFonts w:ascii="Arial MT"/>
                <w:spacing w:val="-2"/>
                <w:sz w:val="22"/>
              </w:rPr>
              <w:t>Transactions processing</w:t>
            </w:r>
          </w:p>
        </w:tc>
        <w:tc>
          <w:tcPr>
            <w:tcW w:w="3140" w:type="dxa"/>
          </w:tcPr>
          <w:p>
            <w:pPr>
              <w:pStyle w:val="TableParagraph"/>
              <w:spacing w:line="276" w:lineRule="auto" w:before="132"/>
              <w:ind w:right="241"/>
              <w:rPr>
                <w:i/>
                <w:sz w:val="22"/>
              </w:rPr>
            </w:pPr>
            <w:r>
              <w:rPr>
                <w:i/>
                <w:sz w:val="22"/>
              </w:rPr>
              <w:t>Accept legal questions or case-related text, identify the relevant legal topic, provide simplified explanations, highlight important rights and obligations, and guide users toward appropriate next steps or professional legal help.</w:t>
            </w:r>
          </w:p>
        </w:tc>
        <w:tc>
          <w:tcPr>
            <w:tcW w:w="2660" w:type="dxa"/>
          </w:tcPr>
          <w:p>
            <w:pPr>
              <w:pStyle w:val="TableParagraph"/>
              <w:ind w:left="0"/>
              <w:rPr>
                <w:rFonts w:ascii="Times New Roman"/>
                <w:sz w:val="22"/>
              </w:rPr>
            </w:pPr>
            <w:r>
              <w:rPr>
                <w:rFonts w:ascii="Times New Roman"/>
                <w:sz w:val="22"/>
              </w:rPr>
              <w:t>High</w:t>
            </w:r>
          </w:p>
        </w:tc>
      </w:tr>
      <w:tr>
        <w:trPr>
          <w:trHeight w:val="1879" w:hRule="atLeast"/>
        </w:trPr>
        <w:tc>
          <w:tcPr>
            <w:tcW w:w="920" w:type="dxa"/>
          </w:tcPr>
          <w:p>
            <w:pPr>
              <w:pStyle w:val="TableParagraph"/>
              <w:spacing w:before="130"/>
              <w:ind w:left="169"/>
              <w:rPr>
                <w:b/>
                <w:sz w:val="22"/>
              </w:rPr>
            </w:pPr>
            <w:r>
              <w:rPr>
                <w:b/>
                <w:spacing w:val="-10"/>
                <w:sz w:val="22"/>
              </w:rPr>
              <w:t>5</w:t>
            </w:r>
          </w:p>
        </w:tc>
        <w:tc>
          <w:tcPr>
            <w:tcW w:w="2060" w:type="dxa"/>
          </w:tcPr>
          <w:p>
            <w:pPr>
              <w:pStyle w:val="TableParagraph"/>
              <w:spacing w:before="130"/>
              <w:ind w:left="179"/>
              <w:rPr>
                <w:rFonts w:ascii="Arial MT"/>
                <w:sz w:val="22"/>
              </w:rPr>
            </w:pPr>
            <w:r>
              <w:rPr>
                <w:rFonts w:ascii="Arial MT"/>
                <w:spacing w:val="-2"/>
                <w:sz w:val="22"/>
              </w:rPr>
              <w:t>Reporting</w:t>
            </w:r>
          </w:p>
        </w:tc>
        <w:tc>
          <w:tcPr>
            <w:tcW w:w="3140" w:type="dxa"/>
          </w:tcPr>
          <w:p>
            <w:pPr>
              <w:pStyle w:val="TableParagraph"/>
              <w:spacing w:line="276" w:lineRule="auto" w:before="130"/>
              <w:ind w:right="92"/>
              <w:rPr>
                <w:i/>
                <w:sz w:val="22"/>
              </w:rPr>
            </w:pPr>
            <w:r>
              <w:rPr>
                <w:i/>
                <w:sz w:val="22"/>
              </w:rPr>
              <w:t>Legal topic summaries, key rights and obligations, suggested next steps, important warnings, and a clear response that can be reviewed or evaluated for accuracy and usefulness.</w:t>
            </w:r>
          </w:p>
        </w:tc>
        <w:tc>
          <w:tcPr>
            <w:tcW w:w="2660" w:type="dxa"/>
          </w:tcPr>
          <w:p>
            <w:pPr>
              <w:pStyle w:val="TableParagraph"/>
              <w:ind w:left="0"/>
              <w:rPr>
                <w:rFonts w:ascii="Times New Roman"/>
                <w:sz w:val="22"/>
              </w:rPr>
            </w:pPr>
            <w:r>
              <w:rPr>
                <w:rFonts w:ascii="Times New Roman"/>
                <w:sz w:val="22"/>
              </w:rPr>
              <w:t>High</w:t>
            </w:r>
          </w:p>
        </w:tc>
      </w:tr>
      <w:tr>
        <w:trPr>
          <w:trHeight w:val="1880" w:hRule="atLeast"/>
        </w:trPr>
        <w:tc>
          <w:tcPr>
            <w:tcW w:w="920" w:type="dxa"/>
          </w:tcPr>
          <w:p>
            <w:pPr>
              <w:pStyle w:val="TableParagraph"/>
              <w:spacing w:before="129"/>
              <w:ind w:left="169"/>
              <w:rPr>
                <w:b/>
                <w:sz w:val="22"/>
              </w:rPr>
            </w:pPr>
            <w:r>
              <w:rPr>
                <w:b/>
                <w:spacing w:val="-10"/>
                <w:sz w:val="22"/>
              </w:rPr>
              <w:t>6</w:t>
            </w:r>
          </w:p>
        </w:tc>
        <w:tc>
          <w:tcPr>
            <w:tcW w:w="2060" w:type="dxa"/>
          </w:tcPr>
          <w:p>
            <w:pPr>
              <w:pStyle w:val="TableParagraph"/>
              <w:spacing w:line="276" w:lineRule="auto" w:before="129"/>
              <w:ind w:left="179" w:right="365"/>
              <w:rPr>
                <w:rFonts w:ascii="Arial MT"/>
                <w:sz w:val="22"/>
              </w:rPr>
            </w:pPr>
            <w:r>
              <w:rPr>
                <w:rFonts w:ascii="Arial MT"/>
                <w:sz w:val="22"/>
              </w:rPr>
              <w:t>Business</w:t>
            </w:r>
            <w:r>
              <w:rPr>
                <w:rFonts w:ascii="Arial MT"/>
                <w:spacing w:val="-16"/>
                <w:sz w:val="22"/>
              </w:rPr>
              <w:t xml:space="preserve"> </w:t>
            </w:r>
            <w:r>
              <w:rPr>
                <w:rFonts w:ascii="Arial MT"/>
                <w:sz w:val="22"/>
              </w:rPr>
              <w:t xml:space="preserve">rules, </w:t>
            </w:r>
            <w:r>
              <w:rPr>
                <w:rFonts w:ascii="Arial MT"/>
                <w:spacing w:val="-4"/>
                <w:sz w:val="22"/>
              </w:rPr>
              <w:t>etc.</w:t>
            </w:r>
          </w:p>
        </w:tc>
        <w:tc>
          <w:tcPr>
            <w:tcW w:w="3140" w:type="dxa"/>
          </w:tcPr>
          <w:p>
            <w:pPr>
              <w:pStyle w:val="TableParagraph"/>
              <w:spacing w:line="276" w:lineRule="auto" w:before="129"/>
              <w:ind w:right="241"/>
              <w:rPr>
                <w:i/>
                <w:sz w:val="22"/>
              </w:rPr>
            </w:pPr>
            <w:r>
              <w:rPr>
                <w:i/>
                <w:sz w:val="22"/>
              </w:rPr>
              <w:t>The AI assists with explanation and guidance but does not replace a qualified lawyer or make final legal decisions. Responses should distinguish general legal information from case-specific legal advice and use a safe fallback when the AI service is unavailable.</w:t>
            </w:r>
          </w:p>
        </w:tc>
        <w:tc>
          <w:tcPr>
            <w:tcW w:w="2660" w:type="dxa"/>
          </w:tcPr>
          <w:p>
            <w:pPr>
              <w:pStyle w:val="TableParagraph"/>
              <w:ind w:left="0"/>
              <w:rPr>
                <w:rFonts w:ascii="Times New Roman"/>
                <w:sz w:val="22"/>
              </w:rPr>
            </w:pPr>
            <w:r>
              <w:rPr>
                <w:rFonts w:ascii="Times New Roman"/>
                <w:sz w:val="22"/>
              </w:rPr>
              <w:t>High</w:t>
            </w:r>
          </w:p>
        </w:tc>
      </w:tr>
      <w:tr>
        <w:trPr>
          <w:trHeight w:val="1879" w:hRule="atLeast"/>
        </w:trPr>
        <w:tc>
          <w:tcPr>
            <w:tcW w:w="920" w:type="dxa"/>
          </w:tcPr>
          <w:p>
            <w:pPr>
              <w:pStyle w:val="TableParagraph"/>
              <w:spacing w:before="128"/>
              <w:ind w:left="169"/>
              <w:rPr>
                <w:b/>
                <w:sz w:val="22"/>
              </w:rPr>
            </w:pPr>
            <w:r>
              <w:rPr>
                <w:b/>
                <w:spacing w:val="-10"/>
                <w:sz w:val="22"/>
              </w:rPr>
              <w:t>7</w:t>
            </w:r>
          </w:p>
        </w:tc>
        <w:tc>
          <w:tcPr>
            <w:tcW w:w="2060" w:type="dxa"/>
          </w:tcPr>
          <w:p>
            <w:pPr>
              <w:pStyle w:val="TableParagraph"/>
              <w:spacing w:line="276" w:lineRule="auto" w:before="128"/>
              <w:ind w:left="179" w:right="450"/>
              <w:rPr>
                <w:rFonts w:ascii="Arial MT"/>
                <w:sz w:val="22"/>
              </w:rPr>
            </w:pPr>
            <w:r>
              <w:rPr>
                <w:rFonts w:ascii="Arial MT"/>
                <w:sz w:val="22"/>
              </w:rPr>
              <w:t>Compliance</w:t>
            </w:r>
            <w:r>
              <w:rPr>
                <w:rFonts w:ascii="Arial MT"/>
                <w:spacing w:val="-16"/>
                <w:sz w:val="22"/>
              </w:rPr>
              <w:t xml:space="preserve"> </w:t>
            </w:r>
            <w:r>
              <w:rPr>
                <w:rFonts w:ascii="Arial MT"/>
                <w:sz w:val="22"/>
              </w:rPr>
              <w:t xml:space="preserve">to laws or </w:t>
            </w:r>
            <w:r>
              <w:rPr>
                <w:rFonts w:ascii="Arial MT"/>
                <w:spacing w:val="-2"/>
                <w:sz w:val="22"/>
              </w:rPr>
              <w:t>regulations</w:t>
            </w:r>
          </w:p>
        </w:tc>
        <w:tc>
          <w:tcPr>
            <w:tcW w:w="3140" w:type="dxa"/>
          </w:tcPr>
          <w:p>
            <w:pPr>
              <w:pStyle w:val="TableParagraph"/>
              <w:spacing w:line="276" w:lineRule="auto" w:before="128"/>
              <w:ind w:right="241"/>
              <w:rPr>
                <w:i/>
                <w:sz w:val="22"/>
              </w:rPr>
            </w:pPr>
            <w:r>
              <w:rPr>
                <w:i/>
                <w:sz w:val="22"/>
              </w:rPr>
              <w:t>Uses minimal user information and avoids unnecessary collection of sensitive personal or case details. Secrets are kept out of source control. Any future personal data handling should follow applicable privacy and data-protection requirements.</w:t>
            </w:r>
          </w:p>
        </w:tc>
        <w:tc>
          <w:tcPr>
            <w:tcW w:w="2660" w:type="dxa"/>
          </w:tcPr>
          <w:p>
            <w:pPr>
              <w:pStyle w:val="TableParagraph"/>
              <w:ind w:left="0"/>
              <w:rPr>
                <w:rFonts w:ascii="Times New Roman"/>
                <w:sz w:val="22"/>
              </w:rPr>
            </w:pPr>
            <w:r>
              <w:rPr>
                <w:rFonts w:ascii="Times New Roman"/>
                <w:sz w:val="22"/>
              </w:rPr>
              <w:t>Medium</w:t>
            </w:r>
          </w:p>
        </w:tc>
      </w:tr>
      <w:tr>
        <w:trPr>
          <w:trHeight w:val="1580" w:hRule="atLeast"/>
        </w:trPr>
        <w:tc>
          <w:tcPr>
            <w:tcW w:w="920" w:type="dxa"/>
          </w:tcPr>
          <w:p>
            <w:pPr>
              <w:pStyle w:val="TableParagraph"/>
              <w:spacing w:before="126"/>
              <w:ind w:left="169"/>
              <w:rPr>
                <w:b/>
                <w:sz w:val="22"/>
              </w:rPr>
            </w:pPr>
            <w:r>
              <w:rPr>
                <w:b/>
                <w:spacing w:val="-10"/>
                <w:sz w:val="22"/>
              </w:rPr>
              <w:t>8</w:t>
            </w:r>
          </w:p>
        </w:tc>
        <w:tc>
          <w:tcPr>
            <w:tcW w:w="2060" w:type="dxa"/>
          </w:tcPr>
          <w:p>
            <w:pPr>
              <w:pStyle w:val="TableParagraph"/>
              <w:spacing w:before="126"/>
              <w:ind w:left="179"/>
              <w:rPr>
                <w:i/>
                <w:sz w:val="22"/>
              </w:rPr>
            </w:pPr>
            <w:r>
              <w:rPr>
                <w:i/>
                <w:spacing w:val="-2"/>
                <w:sz w:val="22"/>
              </w:rPr>
              <w:t>Other</w:t>
            </w:r>
          </w:p>
        </w:tc>
        <w:tc>
          <w:tcPr>
            <w:tcW w:w="3140" w:type="dxa"/>
          </w:tcPr>
          <w:p>
            <w:pPr>
              <w:pStyle w:val="TableParagraph"/>
              <w:spacing w:line="276" w:lineRule="auto" w:before="126"/>
              <w:ind w:right="655"/>
              <w:rPr>
                <w:i/>
                <w:sz w:val="22"/>
              </w:rPr>
            </w:pPr>
            <w:r>
              <w:rPr>
                <w:i/>
                <w:sz w:val="22"/>
              </w:rPr>
              <w:t>Validated inputs, clear error handling, secure API configuration, and controlled caching where appropriate to improve reliability and reduce unnecessary AI requests.</w:t>
            </w:r>
          </w:p>
        </w:tc>
        <w:tc>
          <w:tcPr>
            <w:tcW w:w="2660" w:type="dxa"/>
          </w:tcPr>
          <w:p>
            <w:pPr>
              <w:pStyle w:val="TableParagraph"/>
              <w:ind w:left="0"/>
              <w:rPr>
                <w:rFonts w:ascii="Times New Roman"/>
                <w:sz w:val="22"/>
              </w:rPr>
            </w:pPr>
            <w:r>
              <w:rPr>
                <w:rFonts w:ascii="Times New Roman"/>
                <w:sz w:val="22"/>
              </w:rPr>
              <w:t>Medium</w:t>
            </w:r>
          </w:p>
        </w:tc>
      </w:tr>
    </w:tbl>
    <w:p>
      <w:pPr>
        <w:pStyle w:val="Heading2"/>
        <w:spacing w:before="17"/>
      </w:pPr>
      <w:bookmarkStart w:name="Step 2: Non-Functional Requirements (NFR" w:id="3"/>
      <w:bookmarkEnd w:id="3"/>
      <w:r>
        <w:rPr>
          <w:b w:val="0"/>
        </w:rPr>
      </w:r>
      <w:r>
        <w:rPr/>
        <w:t>Step</w:t>
      </w:r>
      <w:r>
        <w:rPr>
          <w:spacing w:val="-8"/>
        </w:rPr>
        <w:t xml:space="preserve"> </w:t>
      </w:r>
      <w:r>
        <w:rPr/>
        <w:t>2:</w:t>
      </w:r>
      <w:r>
        <w:rPr>
          <w:spacing w:val="-8"/>
        </w:rPr>
        <w:t xml:space="preserve"> </w:t>
      </w:r>
      <w:r>
        <w:rPr/>
        <w:t>Non-Functional</w:t>
      </w:r>
      <w:r>
        <w:rPr>
          <w:spacing w:val="-8"/>
        </w:rPr>
        <w:t xml:space="preserve"> </w:t>
      </w:r>
      <w:r>
        <w:rPr/>
        <w:t>Requirements</w:t>
      </w:r>
      <w:r>
        <w:rPr>
          <w:spacing w:val="-8"/>
        </w:rPr>
        <w:t xml:space="preserve"> </w:t>
      </w:r>
      <w:r>
        <w:rPr>
          <w:spacing w:val="-2"/>
        </w:rPr>
        <w:t>(NFR)</w:t>
      </w:r>
    </w:p>
    <w:p>
      <w:pPr>
        <w:spacing w:line="240" w:lineRule="auto" w:before="4"/>
        <w:rPr>
          <w:b/>
          <w:sz w:val="6"/>
        </w:r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000"/>
        <w:gridCol w:w="3380"/>
        <w:gridCol w:w="2460"/>
      </w:tblGrid>
      <w:tr>
        <w:trPr>
          <w:trHeight w:val="1299" w:hRule="atLeast"/>
        </w:trPr>
        <w:tc>
          <w:tcPr>
            <w:tcW w:w="920" w:type="dxa"/>
          </w:tcPr>
          <w:p>
            <w:pPr>
              <w:pStyle w:val="TableParagraph"/>
              <w:spacing w:before="120"/>
              <w:ind w:left="169"/>
              <w:rPr>
                <w:b/>
                <w:sz w:val="22"/>
              </w:rPr>
            </w:pPr>
            <w:r>
              <w:rPr>
                <w:b/>
                <w:spacing w:val="-4"/>
                <w:sz w:val="22"/>
              </w:rPr>
              <w:t>S.No</w:t>
            </w:r>
          </w:p>
        </w:tc>
        <w:tc>
          <w:tcPr>
            <w:tcW w:w="2000" w:type="dxa"/>
          </w:tcPr>
          <w:p>
            <w:pPr>
              <w:pStyle w:val="TableParagraph"/>
              <w:spacing w:before="120"/>
              <w:ind w:left="179"/>
              <w:rPr>
                <w:b/>
                <w:sz w:val="22"/>
              </w:rPr>
            </w:pPr>
            <w:r>
              <w:rPr>
                <w:b/>
                <w:sz w:val="22"/>
              </w:rPr>
              <w:t>NFR</w:t>
            </w:r>
            <w:r>
              <w:rPr>
                <w:b/>
                <w:spacing w:val="-3"/>
                <w:sz w:val="22"/>
              </w:rPr>
              <w:t xml:space="preserve"> </w:t>
            </w:r>
            <w:r>
              <w:rPr>
                <w:b/>
                <w:spacing w:val="-2"/>
                <w:sz w:val="22"/>
              </w:rPr>
              <w:t>Category</w:t>
            </w:r>
          </w:p>
        </w:tc>
        <w:tc>
          <w:tcPr>
            <w:tcW w:w="3380" w:type="dxa"/>
          </w:tcPr>
          <w:p>
            <w:pPr>
              <w:pStyle w:val="TableParagraph"/>
              <w:spacing w:before="120"/>
              <w:rPr>
                <w:b/>
                <w:sz w:val="22"/>
              </w:rPr>
            </w:pPr>
            <w:r>
              <w:rPr>
                <w:b/>
                <w:sz w:val="22"/>
              </w:rPr>
              <w:t>Requirement</w:t>
            </w:r>
            <w:r>
              <w:rPr>
                <w:b/>
                <w:spacing w:val="-11"/>
                <w:sz w:val="22"/>
              </w:rPr>
              <w:t xml:space="preserve"> </w:t>
            </w:r>
            <w:r>
              <w:rPr>
                <w:b/>
                <w:spacing w:val="-2"/>
                <w:sz w:val="22"/>
              </w:rPr>
              <w:t>Description</w:t>
            </w:r>
          </w:p>
        </w:tc>
        <w:tc>
          <w:tcPr>
            <w:tcW w:w="2460" w:type="dxa"/>
          </w:tcPr>
          <w:p>
            <w:pPr>
              <w:pStyle w:val="TableParagraph"/>
              <w:spacing w:line="276" w:lineRule="auto" w:before="120"/>
              <w:ind w:left="184" w:right="185"/>
              <w:rPr>
                <w:b/>
                <w:sz w:val="22"/>
              </w:rPr>
            </w:pPr>
            <w:r>
              <w:rPr>
                <w:b/>
                <w:sz w:val="22"/>
              </w:rPr>
              <w:t>Target Metric / Acceptance</w:t>
            </w:r>
            <w:r>
              <w:rPr>
                <w:b/>
                <w:spacing w:val="-16"/>
                <w:sz w:val="22"/>
              </w:rPr>
              <w:t xml:space="preserve"> </w:t>
            </w:r>
            <w:r>
              <w:rPr>
                <w:b/>
                <w:sz w:val="22"/>
              </w:rPr>
              <w:t>Criteria</w:t>
            </w:r>
          </w:p>
        </w:tc>
      </w:tr>
    </w:tbl>
    <w:p>
      <w:pPr>
        <w:pStyle w:val="TableParagraph"/>
        <w:spacing w:after="0" w:line="276" w:lineRule="auto"/>
        <w:rPr>
          <w:b/>
          <w:sz w:val="22"/>
        </w:rPr>
        <w:sectPr>
          <w:type w:val="continuous"/>
          <w:pgSz w:w="12240" w:h="15840"/>
          <w:pgMar w:header="0" w:footer="0" w:top="1440" w:bottom="1561" w:left="1440" w:right="1440"/>
        </w:sect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000"/>
        <w:gridCol w:w="3380"/>
        <w:gridCol w:w="2460"/>
      </w:tblGrid>
      <w:tr>
        <w:trPr>
          <w:trHeight w:val="1280" w:hRule="atLeast"/>
        </w:trPr>
        <w:tc>
          <w:tcPr>
            <w:tcW w:w="920" w:type="dxa"/>
          </w:tcPr>
          <w:p>
            <w:pPr>
              <w:pStyle w:val="TableParagraph"/>
              <w:spacing w:before="115"/>
              <w:ind w:left="169"/>
              <w:rPr>
                <w:b/>
                <w:sz w:val="22"/>
              </w:rPr>
            </w:pPr>
            <w:r>
              <w:rPr>
                <w:b/>
                <w:spacing w:val="-10"/>
                <w:sz w:val="22"/>
              </w:rPr>
              <w:t>1</w:t>
            </w:r>
          </w:p>
        </w:tc>
        <w:tc>
          <w:tcPr>
            <w:tcW w:w="2000" w:type="dxa"/>
          </w:tcPr>
          <w:p>
            <w:pPr>
              <w:pStyle w:val="TableParagraph"/>
              <w:spacing w:line="276" w:lineRule="auto" w:before="115"/>
              <w:ind w:left="179" w:right="329"/>
              <w:rPr>
                <w:rFonts w:ascii="Arial MT"/>
                <w:sz w:val="22"/>
              </w:rPr>
            </w:pPr>
            <w:r>
              <w:rPr>
                <w:rFonts w:ascii="Arial MT"/>
                <w:sz w:val="22"/>
              </w:rPr>
              <w:t>Performance</w:t>
            </w:r>
            <w:r>
              <w:rPr>
                <w:rFonts w:ascii="Arial MT"/>
                <w:spacing w:val="-16"/>
                <w:sz w:val="22"/>
              </w:rPr>
              <w:t xml:space="preserve"> </w:t>
            </w:r>
            <w:r>
              <w:rPr>
                <w:rFonts w:ascii="Arial MT"/>
                <w:sz w:val="22"/>
              </w:rPr>
              <w:t xml:space="preserve">&amp; </w:t>
            </w:r>
            <w:r>
              <w:rPr>
                <w:rFonts w:ascii="Arial MT"/>
                <w:spacing w:val="-2"/>
                <w:sz w:val="22"/>
              </w:rPr>
              <w:t>Speed</w:t>
            </w:r>
          </w:p>
        </w:tc>
        <w:tc>
          <w:tcPr>
            <w:tcW w:w="3380" w:type="dxa"/>
          </w:tcPr>
          <w:p>
            <w:pPr>
              <w:pStyle w:val="TableParagraph"/>
              <w:spacing w:line="276" w:lineRule="auto" w:before="115"/>
              <w:rPr>
                <w:i/>
                <w:sz w:val="22"/>
              </w:rPr>
            </w:pPr>
            <w:r>
              <w:rPr>
                <w:i/>
                <w:sz w:val="22"/>
              </w:rPr>
              <w:t>The legal-information service is optimized so common requests can be answered quickly, with appropriate caching of non-sensitive responses where useful.</w:t>
            </w:r>
          </w:p>
        </w:tc>
        <w:tc>
          <w:tcPr>
            <w:tcW w:w="2460" w:type="dxa"/>
          </w:tcPr>
          <w:p>
            <w:pPr>
              <w:pStyle w:val="TableParagraph"/>
              <w:spacing w:line="276" w:lineRule="auto" w:before="115"/>
              <w:ind w:left="184" w:right="108"/>
              <w:rPr>
                <w:i/>
                <w:sz w:val="22"/>
              </w:rPr>
            </w:pPr>
            <w:r>
              <w:rPr>
                <w:i/>
                <w:sz w:val="22"/>
              </w:rPr>
              <w:t>Common legal-information requests should respond promptly, with AI-generated explanations targeted to a few seconds under normal conditions.</w:t>
            </w:r>
          </w:p>
        </w:tc>
      </w:tr>
      <w:tr>
        <w:trPr>
          <w:trHeight w:val="1599" w:hRule="atLeast"/>
        </w:trPr>
        <w:tc>
          <w:tcPr>
            <w:tcW w:w="920" w:type="dxa"/>
          </w:tcPr>
          <w:p>
            <w:pPr>
              <w:pStyle w:val="TableParagraph"/>
              <w:spacing w:before="132"/>
              <w:ind w:left="169"/>
              <w:rPr>
                <w:b/>
                <w:sz w:val="22"/>
              </w:rPr>
            </w:pPr>
            <w:r>
              <w:rPr>
                <w:b/>
                <w:spacing w:val="-10"/>
                <w:sz w:val="22"/>
              </w:rPr>
              <w:t>2</w:t>
            </w:r>
          </w:p>
        </w:tc>
        <w:tc>
          <w:tcPr>
            <w:tcW w:w="2000" w:type="dxa"/>
          </w:tcPr>
          <w:p>
            <w:pPr>
              <w:pStyle w:val="TableParagraph"/>
              <w:spacing w:before="132"/>
              <w:ind w:left="179"/>
              <w:rPr>
                <w:rFonts w:ascii="Arial MT"/>
                <w:sz w:val="22"/>
              </w:rPr>
            </w:pPr>
            <w:r>
              <w:rPr>
                <w:rFonts w:ascii="Arial MT"/>
                <w:spacing w:val="-2"/>
                <w:sz w:val="22"/>
              </w:rPr>
              <w:t>Scalability</w:t>
            </w:r>
          </w:p>
        </w:tc>
        <w:tc>
          <w:tcPr>
            <w:tcW w:w="3380" w:type="dxa"/>
          </w:tcPr>
          <w:p>
            <w:pPr>
              <w:pStyle w:val="TableParagraph"/>
              <w:spacing w:line="276" w:lineRule="auto" w:before="132"/>
              <w:ind w:right="604"/>
              <w:jc w:val="both"/>
              <w:rPr>
                <w:i/>
                <w:sz w:val="22"/>
              </w:rPr>
            </w:pPr>
            <w:r>
              <w:rPr>
                <w:i/>
                <w:sz w:val="22"/>
              </w:rPr>
              <w:t>Stateless backend hosted on Cloud Run with automatic scaling so the application can support changing numbers of users.</w:t>
            </w:r>
          </w:p>
        </w:tc>
        <w:tc>
          <w:tcPr>
            <w:tcW w:w="2460" w:type="dxa"/>
          </w:tcPr>
          <w:p>
            <w:pPr>
              <w:pStyle w:val="TableParagraph"/>
              <w:spacing w:line="276" w:lineRule="auto" w:before="132"/>
              <w:ind w:left="184" w:right="185"/>
              <w:rPr>
                <w:i/>
                <w:sz w:val="22"/>
              </w:rPr>
            </w:pPr>
            <w:r>
              <w:rPr>
                <w:i/>
                <w:sz w:val="22"/>
              </w:rPr>
              <w:t>Handles normal increases in usage automatically; production configuration should minimize delays for users.</w:t>
            </w:r>
          </w:p>
        </w:tc>
      </w:tr>
      <w:tr>
        <w:trPr>
          <w:trHeight w:val="1580" w:hRule="atLeast"/>
        </w:trPr>
        <w:tc>
          <w:tcPr>
            <w:tcW w:w="920" w:type="dxa"/>
          </w:tcPr>
          <w:p>
            <w:pPr>
              <w:pStyle w:val="TableParagraph"/>
              <w:spacing w:before="119"/>
              <w:ind w:left="169"/>
              <w:rPr>
                <w:b/>
                <w:sz w:val="22"/>
              </w:rPr>
            </w:pPr>
            <w:r>
              <w:rPr>
                <w:b/>
                <w:spacing w:val="-10"/>
                <w:sz w:val="22"/>
              </w:rPr>
              <w:t>3</w:t>
            </w:r>
          </w:p>
        </w:tc>
        <w:tc>
          <w:tcPr>
            <w:tcW w:w="2000" w:type="dxa"/>
          </w:tcPr>
          <w:p>
            <w:pPr>
              <w:pStyle w:val="TableParagraph"/>
              <w:spacing w:line="276" w:lineRule="auto" w:before="119"/>
              <w:ind w:left="179"/>
              <w:rPr>
                <w:rFonts w:ascii="Arial MT"/>
                <w:sz w:val="22"/>
              </w:rPr>
            </w:pPr>
            <w:r>
              <w:rPr>
                <w:rFonts w:ascii="Arial MT"/>
                <w:sz w:val="22"/>
              </w:rPr>
              <w:t>Security</w:t>
            </w:r>
            <w:r>
              <w:rPr>
                <w:rFonts w:ascii="Arial MT"/>
                <w:spacing w:val="-16"/>
                <w:sz w:val="22"/>
              </w:rPr>
              <w:t xml:space="preserve"> </w:t>
            </w:r>
            <w:r>
              <w:rPr>
                <w:rFonts w:ascii="Arial MT"/>
                <w:sz w:val="22"/>
              </w:rPr>
              <w:t>&amp;</w:t>
            </w:r>
            <w:r>
              <w:rPr>
                <w:rFonts w:ascii="Arial MT"/>
                <w:spacing w:val="-15"/>
                <w:sz w:val="22"/>
              </w:rPr>
              <w:t xml:space="preserve"> </w:t>
            </w:r>
            <w:r>
              <w:rPr>
                <w:rFonts w:ascii="Arial MT"/>
                <w:sz w:val="22"/>
              </w:rPr>
              <w:t xml:space="preserve">Data </w:t>
            </w:r>
            <w:r>
              <w:rPr>
                <w:rFonts w:ascii="Arial MT"/>
                <w:spacing w:val="-2"/>
                <w:sz w:val="22"/>
              </w:rPr>
              <w:t>Privacy</w:t>
            </w:r>
          </w:p>
        </w:tc>
        <w:tc>
          <w:tcPr>
            <w:tcW w:w="3380" w:type="dxa"/>
          </w:tcPr>
          <w:p>
            <w:pPr>
              <w:pStyle w:val="TableParagraph"/>
              <w:spacing w:line="276" w:lineRule="auto" w:before="119"/>
              <w:rPr>
                <w:i/>
                <w:sz w:val="22"/>
              </w:rPr>
            </w:pPr>
            <w:r>
              <w:rPr>
                <w:i/>
                <w:sz w:val="22"/>
              </w:rPr>
              <w:t>Sensitive configuration is kept server-side, inputs are validated, and HTTPS is used for communication.</w:t>
            </w:r>
          </w:p>
        </w:tc>
        <w:tc>
          <w:tcPr>
            <w:tcW w:w="2460" w:type="dxa"/>
          </w:tcPr>
          <w:p>
            <w:pPr>
              <w:pStyle w:val="TableParagraph"/>
              <w:spacing w:line="276" w:lineRule="auto" w:before="119"/>
              <w:ind w:left="184" w:right="224"/>
              <w:rPr>
                <w:i/>
                <w:sz w:val="22"/>
              </w:rPr>
            </w:pPr>
            <w:r>
              <w:rPr>
                <w:i/>
                <w:sz w:val="22"/>
              </w:rPr>
              <w:t>No API secrets stored in the repository; user communication with the service is protected in transit.</w:t>
            </w:r>
          </w:p>
        </w:tc>
      </w:tr>
      <w:tr>
        <w:trPr>
          <w:trHeight w:val="1300" w:hRule="atLeast"/>
        </w:trPr>
        <w:tc>
          <w:tcPr>
            <w:tcW w:w="920" w:type="dxa"/>
          </w:tcPr>
          <w:p>
            <w:pPr>
              <w:pStyle w:val="TableParagraph"/>
              <w:spacing w:before="127"/>
              <w:ind w:left="169"/>
              <w:rPr>
                <w:b/>
                <w:sz w:val="22"/>
              </w:rPr>
            </w:pPr>
            <w:r>
              <w:rPr>
                <w:b/>
                <w:spacing w:val="-10"/>
                <w:sz w:val="22"/>
              </w:rPr>
              <w:t>4</w:t>
            </w:r>
          </w:p>
        </w:tc>
        <w:tc>
          <w:tcPr>
            <w:tcW w:w="2000" w:type="dxa"/>
          </w:tcPr>
          <w:p>
            <w:pPr>
              <w:pStyle w:val="TableParagraph"/>
              <w:spacing w:line="276" w:lineRule="auto" w:before="127"/>
              <w:ind w:left="179" w:right="647"/>
              <w:rPr>
                <w:rFonts w:ascii="Arial MT"/>
                <w:sz w:val="22"/>
              </w:rPr>
            </w:pPr>
            <w:r>
              <w:rPr>
                <w:rFonts w:ascii="Arial MT"/>
                <w:sz w:val="22"/>
              </w:rPr>
              <w:t>Reliability</w:t>
            </w:r>
            <w:r>
              <w:rPr>
                <w:rFonts w:ascii="Arial MT"/>
                <w:spacing w:val="-16"/>
                <w:sz w:val="22"/>
              </w:rPr>
              <w:t xml:space="preserve"> </w:t>
            </w:r>
            <w:r>
              <w:rPr>
                <w:rFonts w:ascii="Arial MT"/>
                <w:sz w:val="22"/>
              </w:rPr>
              <w:t xml:space="preserve">&amp; </w:t>
            </w:r>
            <w:r>
              <w:rPr>
                <w:rFonts w:ascii="Arial MT"/>
                <w:spacing w:val="-2"/>
                <w:sz w:val="22"/>
              </w:rPr>
              <w:t>Availability</w:t>
            </w:r>
          </w:p>
        </w:tc>
        <w:tc>
          <w:tcPr>
            <w:tcW w:w="3380" w:type="dxa"/>
          </w:tcPr>
          <w:p>
            <w:pPr>
              <w:pStyle w:val="TableParagraph"/>
              <w:spacing w:line="276" w:lineRule="auto" w:before="127"/>
              <w:ind w:right="20"/>
              <w:rPr>
                <w:i/>
                <w:sz w:val="22"/>
              </w:rPr>
            </w:pPr>
            <w:r>
              <w:rPr>
                <w:i/>
                <w:sz w:val="22"/>
              </w:rPr>
              <w:t>A safe fallback response is provided if the AI service fails, directing users to reliable legal resources or professional assistance when appropriate.</w:t>
            </w:r>
          </w:p>
        </w:tc>
        <w:tc>
          <w:tcPr>
            <w:tcW w:w="2460" w:type="dxa"/>
          </w:tcPr>
          <w:p>
            <w:pPr>
              <w:pStyle w:val="TableParagraph"/>
              <w:spacing w:line="276" w:lineRule="auto" w:before="127"/>
              <w:ind w:left="184" w:right="185"/>
              <w:rPr>
                <w:i/>
                <w:sz w:val="22"/>
              </w:rPr>
            </w:pPr>
            <w:r>
              <w:rPr>
                <w:i/>
                <w:sz w:val="22"/>
              </w:rPr>
              <w:t>The application remains usable with a basic fallback response when the AI service or external connection is unavailable.</w:t>
            </w:r>
          </w:p>
        </w:tc>
      </w:tr>
      <w:tr>
        <w:trPr>
          <w:trHeight w:val="1579" w:hRule="atLeast"/>
        </w:trPr>
        <w:tc>
          <w:tcPr>
            <w:tcW w:w="920" w:type="dxa"/>
          </w:tcPr>
          <w:p>
            <w:pPr>
              <w:pStyle w:val="TableParagraph"/>
              <w:spacing w:before="124"/>
              <w:ind w:left="169"/>
              <w:rPr>
                <w:b/>
                <w:sz w:val="22"/>
              </w:rPr>
            </w:pPr>
            <w:r>
              <w:rPr>
                <w:b/>
                <w:spacing w:val="-10"/>
                <w:sz w:val="22"/>
              </w:rPr>
              <w:t>5</w:t>
            </w:r>
          </w:p>
        </w:tc>
        <w:tc>
          <w:tcPr>
            <w:tcW w:w="2000" w:type="dxa"/>
          </w:tcPr>
          <w:p>
            <w:pPr>
              <w:pStyle w:val="TableParagraph"/>
              <w:spacing w:line="276" w:lineRule="auto" w:before="124"/>
              <w:ind w:left="179"/>
              <w:rPr>
                <w:rFonts w:ascii="Arial MT"/>
                <w:sz w:val="22"/>
              </w:rPr>
            </w:pPr>
            <w:r>
              <w:rPr>
                <w:rFonts w:ascii="Arial MT"/>
                <w:sz w:val="22"/>
              </w:rPr>
              <w:t xml:space="preserve">Usability &amp; </w:t>
            </w:r>
            <w:r>
              <w:rPr>
                <w:rFonts w:ascii="Arial MT"/>
                <w:spacing w:val="-2"/>
                <w:sz w:val="22"/>
              </w:rPr>
              <w:t>Accessibility</w:t>
            </w:r>
          </w:p>
        </w:tc>
        <w:tc>
          <w:tcPr>
            <w:tcW w:w="3380" w:type="dxa"/>
          </w:tcPr>
          <w:p>
            <w:pPr>
              <w:pStyle w:val="TableParagraph"/>
              <w:spacing w:line="276" w:lineRule="auto" w:before="124"/>
              <w:rPr>
                <w:i/>
                <w:sz w:val="22"/>
              </w:rPr>
            </w:pPr>
            <w:r>
              <w:rPr>
                <w:i/>
                <w:sz w:val="22"/>
              </w:rPr>
              <w:t>Simple, accessible interface with legal information written in plain language and technical API documentation available for developers.</w:t>
            </w:r>
          </w:p>
        </w:tc>
        <w:tc>
          <w:tcPr>
            <w:tcW w:w="2460" w:type="dxa"/>
          </w:tcPr>
          <w:p>
            <w:pPr>
              <w:pStyle w:val="TableParagraph"/>
              <w:spacing w:line="276" w:lineRule="auto" w:before="124"/>
              <w:ind w:left="184" w:right="185"/>
              <w:rPr>
                <w:i/>
                <w:sz w:val="22"/>
              </w:rPr>
            </w:pPr>
            <w:r>
              <w:rPr>
                <w:i/>
                <w:sz w:val="22"/>
              </w:rPr>
              <w:t>A new user can ask a legal question and understand the main guidance within a few minutes; the public interface works on mobile devices.</w:t>
            </w:r>
          </w:p>
        </w:tc>
      </w:tr>
      <w:tr>
        <w:trPr>
          <w:trHeight w:val="1879" w:hRule="atLeast"/>
        </w:trPr>
        <w:tc>
          <w:tcPr>
            <w:tcW w:w="920" w:type="dxa"/>
          </w:tcPr>
          <w:p>
            <w:pPr>
              <w:pStyle w:val="TableParagraph"/>
              <w:spacing w:before="132"/>
              <w:ind w:left="169"/>
              <w:rPr>
                <w:b/>
                <w:sz w:val="22"/>
              </w:rPr>
            </w:pPr>
            <w:r>
              <w:rPr>
                <w:b/>
                <w:spacing w:val="-10"/>
                <w:sz w:val="22"/>
              </w:rPr>
              <w:t>6</w:t>
            </w:r>
          </w:p>
        </w:tc>
        <w:tc>
          <w:tcPr>
            <w:tcW w:w="2000" w:type="dxa"/>
          </w:tcPr>
          <w:p>
            <w:pPr>
              <w:pStyle w:val="TableParagraph"/>
              <w:spacing w:before="132"/>
              <w:ind w:left="179"/>
              <w:rPr>
                <w:i/>
                <w:sz w:val="22"/>
              </w:rPr>
            </w:pPr>
            <w:r>
              <w:rPr>
                <w:i/>
                <w:spacing w:val="-2"/>
                <w:sz w:val="22"/>
              </w:rPr>
              <w:t>Other</w:t>
            </w:r>
          </w:p>
        </w:tc>
        <w:tc>
          <w:tcPr>
            <w:tcW w:w="3380" w:type="dxa"/>
          </w:tcPr>
          <w:p>
            <w:pPr>
              <w:pStyle w:val="TableParagraph"/>
              <w:spacing w:before="132"/>
              <w:rPr>
                <w:i/>
                <w:sz w:val="22"/>
              </w:rPr>
            </w:pPr>
            <w:r>
              <w:rPr>
                <w:i/>
                <w:sz w:val="22"/>
              </w:rPr>
              <w:t>Maintainability through modular components, documented legal-information workflows, controlled updates, and repeatable testing of response quality.</w:t>
            </w:r>
          </w:p>
        </w:tc>
        <w:tc>
          <w:tcPr>
            <w:tcW w:w="2460" w:type="dxa"/>
          </w:tcPr>
          <w:p>
            <w:pPr>
              <w:pStyle w:val="TableParagraph"/>
              <w:ind w:left="0"/>
              <w:rPr>
                <w:rFonts w:ascii="Times New Roman"/>
                <w:sz w:val="22"/>
              </w:rPr>
            </w:pPr>
            <w:r>
              <w:rPr>
                <w:rFonts w:ascii="Times New Roman"/>
                <w:sz w:val="22"/>
              </w:rPr>
              <w:t>Regular evaluation checks the accuracy, clarity, safety, and consistency of LegalEase responses against defined test cases.</w:t>
            </w:r>
          </w:p>
        </w:tc>
      </w:tr>
    </w:tbl>
    <w:sectPr>
      <w:type w:val="continuous"/>
      <w:pgSz w:w="12240" w:h="15840"/>
      <w:pgMar w:header="0" w:footer="0" w:top="14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r>
    <w:r>
      <w:rPr>
        <w:sz w:val="20"/>
      </w:rP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20" w:right="207" w:hanging="360"/>
    </w:pPr>
    <w:rPr>
      <w:rFonts w:ascii="Arial MT" w:hAnsi="Arial MT" w:eastAsia="Arial MT" w:cs="Arial MT"/>
      <w:lang w:val="en-US" w:eastAsia="en-US" w:bidi="ar-SA"/>
    </w:rPr>
  </w:style>
  <w:style w:styleId="TableParagraph" w:type="paragraph">
    <w:name w:val="Table Paragraph"/>
    <w:basedOn w:val="Normal"/>
    <w:uiPriority w:val="1"/>
    <w:qFormat/>
    <w:pPr>
      <w:ind w:left="17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Requirements</dc:title>
  <dcterms:created xsi:type="dcterms:W3CDTF">2026-09-30T04:45:49Z</dcterms:created>
  <dcterms:modified xsi:type="dcterms:W3CDTF">2026-09-30T04:45:49Z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