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> </w:t>
      </w:r>
      <w:r>
        <w:rPr>
          <w:spacing w:val="-2"/>
        </w:rPr>
        <w:t>Stack</w:t>
      </w: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28" w:after="0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20"/>
      </w:tblGrid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02 October 2026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>
            <w:pPr>
              <w:pStyle w:val="TableParagraph"/>
              <w:spacing w:before="80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SWTID-2026-2037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>
            <w:pPr>
              <w:pStyle w:val="TableParagraph"/>
              <w:spacing w:before="8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LegalEase</w:t>
            </w:r>
          </w:p>
        </w:tc>
      </w:tr>
      <w:tr>
        <w:trPr>
          <w:trHeight w:val="460" w:hRule="atLeast"/>
        </w:trPr>
        <w:tc>
          <w:tcPr>
            <w:tcW w:w="3220" w:type="dxa"/>
          </w:tcPr>
          <w:p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7"/>
        <w:rPr>
          <w:b/>
          <w:sz w:val="24"/>
        </w:rPr>
      </w:pPr>
    </w:p>
    <w:p>
      <w:pPr>
        <w:pStyle w:val="Heading2"/>
      </w:pPr>
      <w:r>
        <w:rPr>
          <w:spacing w:val="-2"/>
        </w:rPr>
        <w:t>Define</w:t>
      </w:r>
      <w:r>
        <w:rPr>
          <w:spacing w:val="-4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Technology</w:t>
      </w:r>
      <w:r>
        <w:rPr>
          <w:spacing w:val="-3"/>
        </w:rPr>
        <w:t> </w:t>
      </w:r>
      <w:r>
        <w:rPr>
          <w:spacing w:val="-2"/>
        </w:rPr>
        <w:t>Stack:</w:t>
      </w:r>
    </w:p>
    <w:p>
      <w:pPr>
        <w:spacing w:line="240" w:lineRule="auto" w:before="5"/>
        <w:rPr>
          <w:b/>
          <w:sz w:val="24"/>
        </w:rPr>
      </w:pPr>
    </w:p>
    <w:p>
      <w:pPr>
        <w:pStyle w:val="BodyText"/>
        <w:spacing w:line="276" w:lineRule="auto" w:before="1"/>
      </w:pPr>
      <w:r>
        <w:rPr/>
        <w:t>Identify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programming</w:t>
      </w:r>
      <w:r>
        <w:rPr>
          <w:spacing w:val="-4"/>
        </w:rPr>
        <w:t> </w:t>
      </w:r>
      <w:r>
        <w:rPr/>
        <w:t>languages,</w:t>
      </w:r>
      <w:r>
        <w:rPr>
          <w:spacing w:val="-4"/>
        </w:rPr>
        <w:t> </w:t>
      </w:r>
      <w:r>
        <w:rPr/>
        <w:t>frameworks,</w:t>
      </w:r>
      <w:r>
        <w:rPr>
          <w:spacing w:val="-4"/>
        </w:rPr>
        <w:t> </w:t>
      </w:r>
      <w:r>
        <w:rPr/>
        <w:t>databases,</w:t>
      </w:r>
      <w:r>
        <w:rPr>
          <w:spacing w:val="-4"/>
        </w:rPr>
        <w:t> </w:t>
      </w:r>
      <w:r>
        <w:rPr/>
        <w:t>front-end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back-end</w:t>
      </w:r>
      <w:r>
        <w:rPr>
          <w:spacing w:val="-4"/>
        </w:rPr>
        <w:t> </w:t>
      </w:r>
      <w:r>
        <w:rPr/>
        <w:t>tools,</w:t>
      </w:r>
      <w:r>
        <w:rPr>
          <w:spacing w:val="-4"/>
        </w:rPr>
        <w:t> </w:t>
      </w:r>
      <w:r>
        <w:rPr/>
        <w:t>and APIs that you will use to build your solution. A well-chosen technology stack ensures that your application is scalable, maintainable, and aligned with your project requirements.</w:t>
      </w:r>
    </w:p>
    <w:p>
      <w:pPr>
        <w:pStyle w:val="BodyText"/>
        <w:spacing w:line="276" w:lineRule="auto" w:before="240"/>
      </w:pPr>
      <w:r>
        <w:rPr/>
        <w:t>Fill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detail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specific</w:t>
      </w:r>
      <w:r>
        <w:rPr>
          <w:spacing w:val="-3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chosen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your architecture and provide a brief justification for your choice.</w:t>
      </w:r>
    </w:p>
    <w:p>
      <w:pPr>
        <w:pStyle w:val="Heading2"/>
        <w:spacing w:before="240"/>
      </w:pPr>
      <w:bookmarkStart w:name="Technology Stack Details " w:id="1"/>
      <w:bookmarkEnd w:id="1"/>
      <w:r>
        <w:rPr>
          <w:b w:val="0"/>
        </w:rPr>
      </w:r>
      <w:r>
        <w:rPr/>
        <w:t>Technology</w:t>
      </w:r>
      <w:r>
        <w:rPr>
          <w:spacing w:val="-14"/>
        </w:rPr>
        <w:t> </w:t>
      </w:r>
      <w:r>
        <w:rPr/>
        <w:t>Stack</w:t>
      </w:r>
      <w:r>
        <w:rPr>
          <w:spacing w:val="-11"/>
        </w:rPr>
        <w:t> </w:t>
      </w:r>
      <w:r>
        <w:rPr>
          <w:spacing w:val="-2"/>
        </w:rPr>
        <w:t>Details</w:t>
      </w:r>
    </w:p>
    <w:p>
      <w:pPr>
        <w:spacing w:line="240" w:lineRule="auto" w:before="1"/>
        <w:rPr>
          <w:b/>
          <w:sz w:val="6"/>
        </w:r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>
        <w:trPr>
          <w:trHeight w:val="1359" w:hRule="atLeast"/>
        </w:trPr>
        <w:tc>
          <w:tcPr>
            <w:tcW w:w="920" w:type="dxa"/>
          </w:tcPr>
          <w:p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>
            <w:pPr>
              <w:pStyle w:val="TableParagraph"/>
              <w:spacing w:line="276" w:lineRule="auto" w:before="126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>
            <w:pPr>
              <w:pStyle w:val="TableParagraph"/>
              <w:spacing w:line="276" w:lineRule="auto" w:before="12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260" w:hRule="atLeast"/>
        </w:trPr>
        <w:tc>
          <w:tcPr>
            <w:tcW w:w="920" w:type="dxa"/>
          </w:tcPr>
          <w:p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>
            <w:r>
              <w:t>Streamlit (Python)</w:t>
            </w:r>
          </w:p>
        </w:tc>
        <w:tc>
          <w:tcPr>
            <w:tcW w:w="1900" w:type="dxa"/>
          </w:tcPr>
          <w:p>
            <w:r>
              <w:t>Simple, user-friendly interface for LegalEase to enter legal queries, view guidance, and access generated documents.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6"/>
              <w:ind w:left="184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Pure-Python UI that calls the FastAPI endpoints, which is the fastest option for a solo build. The FastAPI /docs page serves as a fallback demo.</w:t>
            </w:r>
          </w:p>
        </w:tc>
      </w:tr>
    </w:tbl>
    <w:p>
      <w:pPr>
        <w:pStyle w:val="TableParagraph"/>
        <w:spacing w:after="0" w:line="276" w:lineRule="auto"/>
        <w:rPr>
          <w:i/>
          <w:sz w:val="24"/>
        </w:rPr>
        <w:sectPr>
          <w:headerReference w:type="default" r:id="rId5"/>
          <w:type w:val="continuous"/>
          <w:pgSz w:w="12240" w:h="15840"/>
          <w:pgMar w:header="0" w:footer="0" w:top="1440" w:bottom="280" w:left="1440" w:right="144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>
        <w:trPr>
          <w:trHeight w:val="3259" w:hRule="atLeast"/>
        </w:trPr>
        <w:tc>
          <w:tcPr>
            <w:tcW w:w="920" w:type="dxa"/>
          </w:tcPr>
          <w:p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0" w:type="dxa"/>
          </w:tcPr>
          <w:p>
            <w:r>
              <w:t>Python 3.11, FastAPI, Pydantic</w:t>
            </w:r>
          </w:p>
        </w:tc>
        <w:tc>
          <w:tcPr>
            <w:tcW w:w="1900" w:type="dxa"/>
          </w:tcPr>
          <w:p>
            <w:r>
              <w:t>FastAPI provides typed request validation and API endpoints for legal-query processing, document generation, and secure service integration.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5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FastAPI gives typed validation and automatic docs. scikit-learn and statsmodels provide the TF-IDF + Logistic Regression classifier, Isolation Forest and SARIMAX models.</w:t>
            </w:r>
          </w:p>
        </w:tc>
      </w:tr>
      <w:tr>
        <w:trPr>
          <w:trHeight w:val="3580" w:hRule="atLeast"/>
        </w:trPr>
        <w:tc>
          <w:tcPr>
            <w:tcW w:w="920" w:type="dxa"/>
          </w:tcPr>
          <w:p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>
            <w:r>
              <w:t>SQLite / JSON</w:t>
            </w:r>
          </w:p>
        </w:tc>
        <w:tc>
          <w:tcPr>
            <w:tcW w:w="1900" w:type="dxa"/>
          </w:tcPr>
          <w:p>
            <w:r>
              <w:t>Stores structured legal information, user data, document metadata, and application configuration with lightweight local storage.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7"/>
              <w:ind w:left="184" w:right="189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Data is synthetic and read-only, so files avoid database overhead. The cache is keyed by input hash to save API calls.</w:t>
            </w:r>
          </w:p>
        </w:tc>
      </w:tr>
      <w:tr>
        <w:trPr>
          <w:trHeight w:val="3259" w:hRule="atLeast"/>
        </w:trPr>
        <w:tc>
          <w:tcPr>
            <w:tcW w:w="920" w:type="dxa"/>
          </w:tcPr>
          <w:p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>
            <w:r>
              <w:t>Google Cloud Run with Cloud Build</w:t>
            </w:r>
          </w:p>
        </w:tc>
        <w:tc>
          <w:tcPr>
            <w:tcW w:w="1900" w:type="dxa"/>
          </w:tcPr>
          <w:p>
            <w:r>
              <w:t>Serverless deployment that supports scalable hosting of the LegalEase application and automated builds.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6"/>
              <w:ind w:left="184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Serverless container that scales to zero, Cloud Build handles amd64 builds, and it fits the Google Cloud Generative AI track.</w:t>
            </w:r>
          </w:p>
        </w:tc>
      </w:tr>
      <w:tr>
        <w:trPr>
          <w:trHeight w:val="2140" w:hRule="atLeast"/>
        </w:trPr>
        <w:tc>
          <w:tcPr>
            <w:tcW w:w="920" w:type="dxa"/>
          </w:tcPr>
          <w:p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>
            <w:r>
              <w:t>Git and GitHub, Cloud Build</w:t>
            </w:r>
          </w:p>
        </w:tc>
        <w:tc>
          <w:tcPr>
            <w:tcW w:w="1900" w:type="dxa"/>
          </w:tcPr>
          <w:p>
            <w:r>
              <w:t>Supports version control, team collaboration, testing, and streamlined application deployment.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18"/>
              <w:ind w:left="184" w:right="379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Simple team collaboration and one-command deployments straight from source.</w:t>
            </w:r>
          </w:p>
        </w:tc>
      </w:tr>
    </w:tbl>
    <w:p>
      <w:pPr>
        <w:pStyle w:val="TableParagraph"/>
        <w:spacing w:after="0" w:line="276" w:lineRule="auto"/>
        <w:jc w:val="both"/>
        <w:rPr>
          <w:i/>
          <w:sz w:val="24"/>
        </w:rPr>
        <w:sectPr>
          <w:pgSz w:w="12240" w:h="15840"/>
          <w:pgMar w:header="0" w:footer="0" w:top="1440" w:bottom="1391" w:left="1440" w:right="1440"/>
        </w:sectPr>
      </w:pPr>
    </w:p>
    <w:tbl>
      <w:tblPr>
        <w:tblW w:w="0" w:type="auto"/>
        <w:jc w:val="left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2520"/>
        <w:gridCol w:w="1900"/>
        <w:gridCol w:w="3440"/>
      </w:tblGrid>
      <w:tr>
        <w:trPr>
          <w:trHeight w:val="3259" w:hRule="atLeast"/>
        </w:trPr>
        <w:tc>
          <w:tcPr>
            <w:tcW w:w="920" w:type="dxa"/>
          </w:tcPr>
          <w:p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>
            <w:r>
              <w:t>Google Gemini API</w:t>
            </w:r>
          </w:p>
        </w:tc>
        <w:tc>
          <w:tcPr>
            <w:tcW w:w="1900" w:type="dxa"/>
          </w:tcPr>
          <w:p>
            <w:r>
              <w:t>Helps LegalEase explain legal information in plain language, summarize documents, and assist users with legal guidance while keeping outputs informational.</w:t>
            </w:r>
          </w:p>
        </w:tc>
        <w:tc>
          <w:tcPr>
            <w:tcW w:w="3440" w:type="dxa"/>
          </w:tcPr>
          <w:p>
            <w:pPr>
              <w:pStyle w:val="TableParagraph"/>
              <w:spacing w:line="276" w:lineRule="auto" w:before="124"/>
              <w:ind w:left="184" w:right="512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Turns model output into plain-English budget advice. It never computes or predicts numbers.</w:t>
            </w:r>
          </w:p>
        </w:tc>
      </w:tr>
    </w:tbl>
    <w:sectPr>
      <w:type w:val="continuous"/>
      <w:pgSz w:w="12240" w:h="15840"/>
      <w:pgMar w:header="0" w:footer="0"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81856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82368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7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terms:created xsi:type="dcterms:W3CDTF">2026-09-30T04:45:57Z</dcterms:created>
  <dcterms:modified xsi:type="dcterms:W3CDTF">2026-09-30T04:45:57Z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