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Project Initialization and Planning Phas" w:id="1"/>
      <w:bookmarkEnd w:id="1"/>
      <w:r>
        <w:rPr>
          <w:b w:val="0"/>
        </w:rPr>
      </w:r>
      <w:r>
        <w:rPr/>
        <w:t>Project</w:t>
      </w:r>
      <w:r>
        <w:rPr>
          <w:spacing w:val="-12"/>
        </w:rPr>
        <w:t> </w:t>
      </w:r>
      <w:r>
        <w:rPr/>
        <w:t>Initialization</w:t>
      </w:r>
      <w:r>
        <w:rPr>
          <w:spacing w:val="-9"/>
        </w:rPr>
        <w:t> </w:t>
      </w:r>
      <w:r>
        <w:rPr/>
        <w:t>and</w:t>
      </w:r>
      <w:r>
        <w:rPr>
          <w:spacing w:val="-9"/>
        </w:rPr>
        <w:t> </w:t>
      </w:r>
      <w:r>
        <w:rPr/>
        <w:t>Planning</w:t>
      </w:r>
      <w:r>
        <w:rPr>
          <w:spacing w:val="-9"/>
        </w:rPr>
        <w:t> </w:t>
      </w:r>
      <w:r>
        <w:rPr>
          <w:spacing w:val="-2"/>
        </w:rPr>
        <w:t>Phase</w:t>
      </w:r>
    </w:p>
    <w:p>
      <w:pPr>
        <w:pStyle w:val="BodyText"/>
        <w:spacing w:before="30"/>
        <w:rPr>
          <w:b/>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4680" w:type="dxa"/>
          </w:tcPr>
          <w:p>
            <w:pPr>
              <w:pStyle w:val="TableParagraph"/>
              <w:spacing w:before="141"/>
              <w:rPr>
                <w:sz w:val="24"/>
              </w:rPr>
            </w:pPr>
            <w:r>
              <w:rPr>
                <w:spacing w:val="-4"/>
                <w:sz w:val="24"/>
              </w:rPr>
              <w:t>Date</w:t>
            </w:r>
          </w:p>
        </w:tc>
        <w:tc>
          <w:tcPr>
            <w:tcW w:w="4680" w:type="dxa"/>
          </w:tcPr>
          <w:p>
            <w:pPr>
              <w:pStyle w:val="TableParagraph"/>
              <w:spacing w:before="141"/>
              <w:rPr>
                <w:sz w:val="24"/>
              </w:rPr>
            </w:pPr>
            <w:r>
              <w:rPr>
                <w:sz w:val="24"/>
              </w:rPr>
              <w:t xml:space="preserve">02 October 2026</w:t>
            </w:r>
          </w:p>
        </w:tc>
      </w:tr>
      <w:tr>
        <w:trPr>
          <w:trHeight w:val="460" w:hRule="atLeast"/>
        </w:trPr>
        <w:tc>
          <w:tcPr>
            <w:tcW w:w="4680" w:type="dxa"/>
          </w:tcPr>
          <w:p>
            <w:pPr>
              <w:pStyle w:val="TableParagraph"/>
              <w:spacing w:before="102"/>
              <w:rPr>
                <w:sz w:val="24"/>
              </w:rPr>
            </w:pPr>
            <w:r>
              <w:rPr>
                <w:spacing w:val="-2"/>
                <w:sz w:val="24"/>
              </w:rPr>
              <w:t>Team</w:t>
            </w:r>
            <w:r>
              <w:rPr>
                <w:spacing w:val="-11"/>
                <w:sz w:val="24"/>
              </w:rPr>
              <w:t> </w:t>
            </w:r>
            <w:r>
              <w:rPr>
                <w:spacing w:val="-5"/>
                <w:sz w:val="24"/>
              </w:rPr>
              <w:t>ID</w:t>
            </w:r>
          </w:p>
        </w:tc>
        <w:tc>
          <w:tcPr>
            <w:tcW w:w="4680" w:type="dxa"/>
          </w:tcPr>
          <w:p>
            <w:r>
              <w:t>SWTID-2026-2037</w:t>
            </w:r>
          </w:p>
        </w:tc>
      </w:tr>
      <w:tr>
        <w:trPr>
          <w:trHeight w:val="719" w:hRule="atLeast"/>
        </w:trPr>
        <w:tc>
          <w:tcPr>
            <w:tcW w:w="4680" w:type="dxa"/>
          </w:tcPr>
          <w:p>
            <w:pPr>
              <w:pStyle w:val="TableParagraph"/>
              <w:spacing w:before="118"/>
              <w:rPr>
                <w:sz w:val="24"/>
              </w:rPr>
            </w:pPr>
            <w:r>
              <w:rPr>
                <w:sz w:val="24"/>
              </w:rPr>
              <w:t>Project </w:t>
            </w:r>
            <w:r>
              <w:rPr>
                <w:spacing w:val="-2"/>
                <w:sz w:val="24"/>
              </w:rPr>
              <w:t>Title</w:t>
            </w:r>
          </w:p>
        </w:tc>
        <w:tc>
          <w:tcPr>
            <w:tcW w:w="4680" w:type="dxa"/>
          </w:tcPr>
          <w:p>
            <w:pPr>
              <w:pStyle w:val="TableParagraph"/>
              <w:spacing w:before="118"/>
              <w:ind w:right="109"/>
              <w:rPr>
                <w:sz w:val="24"/>
              </w:rPr>
            </w:pPr>
            <w:r>
              <w:rPr>
                <w:sz w:val="24"/>
              </w:rPr>
              <w:t>LegalEase - AI-Powered Legal Document Generator</w:t>
            </w:r>
          </w:p>
        </w:tc>
      </w:tr>
      <w:tr>
        <w:trPr>
          <w:trHeight w:val="479" w:hRule="atLeast"/>
        </w:trPr>
        <w:tc>
          <w:tcPr>
            <w:tcW w:w="4680" w:type="dxa"/>
          </w:tcPr>
          <w:p>
            <w:pPr>
              <w:pStyle w:val="TableParagraph"/>
              <w:spacing w:before="135"/>
              <w:rPr>
                <w:sz w:val="24"/>
              </w:rPr>
            </w:pPr>
            <w:r>
              <w:rPr>
                <w:sz w:val="24"/>
              </w:rPr>
              <w:t>Maximum </w:t>
            </w:r>
            <w:r>
              <w:rPr>
                <w:spacing w:val="-2"/>
                <w:sz w:val="24"/>
              </w:rPr>
              <w:t>Marks</w:t>
            </w:r>
          </w:p>
        </w:tc>
        <w:tc>
          <w:tcPr>
            <w:tcW w:w="4680" w:type="dxa"/>
          </w:tcPr>
          <w:p>
            <w:pPr>
              <w:pStyle w:val="TableParagraph"/>
              <w:spacing w:before="135"/>
              <w:rPr>
                <w:sz w:val="24"/>
              </w:rPr>
            </w:pPr>
            <w:r>
              <w:rPr>
                <w:sz w:val="24"/>
              </w:rPr>
              <w:t>5 </w:t>
            </w:r>
            <w:r>
              <w:rPr>
                <w:spacing w:val="-2"/>
                <w:sz w:val="24"/>
              </w:rPr>
              <w:t>Marks</w:t>
            </w:r>
          </w:p>
        </w:tc>
      </w:tr>
    </w:tbl>
    <w:p>
      <w:pPr>
        <w:pStyle w:val="BodyText"/>
        <w:spacing w:before="104"/>
        <w:rPr>
          <w:b/>
          <w:sz w:val="28"/>
        </w:rPr>
      </w:pPr>
    </w:p>
    <w:p>
      <w:pPr>
        <w:pStyle w:val="Heading2"/>
        <w:spacing w:before="1"/>
      </w:pPr>
      <w:bookmarkStart w:name="Project Proposal (Proposed Solution) rep" w:id="2"/>
      <w:bookmarkEnd w:id="2"/>
      <w:r>
        <w:rPr>
          <w:b w:val="0"/>
        </w:rPr>
      </w:r>
      <w:r>
        <w:rPr/>
        <w:t>Project</w:t>
      </w:r>
      <w:r>
        <w:rPr>
          <w:spacing w:val="-4"/>
        </w:rPr>
        <w:t> </w:t>
      </w:r>
      <w:r>
        <w:rPr/>
        <w:t>Proposal</w:t>
      </w:r>
      <w:r>
        <w:rPr>
          <w:spacing w:val="-4"/>
        </w:rPr>
        <w:t> </w:t>
      </w:r>
      <w:r>
        <w:rPr/>
        <w:t>(Proposed</w:t>
      </w:r>
      <w:r>
        <w:rPr>
          <w:spacing w:val="-4"/>
        </w:rPr>
        <w:t> </w:t>
      </w:r>
      <w:r>
        <w:rPr/>
        <w:t>Solution)</w:t>
      </w:r>
      <w:r>
        <w:rPr>
          <w:spacing w:val="-3"/>
        </w:rPr>
        <w:t> </w:t>
      </w:r>
      <w:r>
        <w:rPr>
          <w:spacing w:val="-2"/>
        </w:rPr>
        <w:t>report</w:t>
      </w:r>
    </w:p>
    <w:p>
      <w:pPr>
        <w:pStyle w:val="BodyText"/>
        <w:spacing w:line="259" w:lineRule="auto" w:before="182"/>
        <w:ind w:right="438"/>
      </w:pPr>
      <w:r>
        <w:t>The proposal report presents LegalEase, an AI-powered legal document generator that helps individuals and small organisations create clear, structured legal documents through guided inputs, approved templates and AI-assisted drafting. It supports document generation, clause suggestions, completeness checks and plain-language explanations while keeping users in control through review prompts and transparent limitations. LegalEase is designed to simplify legal document preparation; it does not replace a qualified legal professional or provide jurisdiction-specific legal advice.</w:t>
      </w:r>
    </w:p>
    <w:p>
      <w:pPr>
        <w:pStyle w:val="BodyText"/>
        <w:spacing w:before="10" w:after="1"/>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960"/>
      </w:tblGrid>
      <w:tr>
        <w:trPr>
          <w:trHeight w:val="480" w:hRule="atLeast"/>
        </w:trPr>
        <w:tc>
          <w:tcPr>
            <w:tcW w:w="9360" w:type="dxa"/>
            <w:gridSpan w:val="2"/>
          </w:tcPr>
          <w:p>
            <w:pPr>
              <w:pStyle w:val="TableParagraph"/>
              <w:spacing w:before="120"/>
              <w:rPr>
                <w:b/>
                <w:sz w:val="24"/>
              </w:rPr>
            </w:pPr>
            <w:r>
              <w:rPr>
                <w:b/>
                <w:sz w:val="24"/>
              </w:rPr>
              <w:t>Project</w:t>
            </w:r>
            <w:r>
              <w:rPr>
                <w:b/>
                <w:spacing w:val="-5"/>
                <w:sz w:val="24"/>
              </w:rPr>
              <w:t> </w:t>
            </w:r>
            <w:r>
              <w:rPr>
                <w:b/>
                <w:spacing w:val="-2"/>
                <w:sz w:val="24"/>
              </w:rPr>
              <w:t>Overview</w:t>
            </w:r>
          </w:p>
        </w:tc>
      </w:tr>
      <w:tr>
        <w:trPr>
          <w:trHeight w:val="1020" w:hRule="atLeast"/>
        </w:trPr>
        <w:tc>
          <w:tcPr>
            <w:tcW w:w="2400" w:type="dxa"/>
          </w:tcPr>
          <w:p>
            <w:pPr>
              <w:pStyle w:val="TableParagraph"/>
              <w:spacing w:before="111"/>
              <w:rPr>
                <w:sz w:val="24"/>
              </w:rPr>
            </w:pPr>
            <w:r>
              <w:rPr>
                <w:spacing w:val="-2"/>
                <w:sz w:val="24"/>
              </w:rPr>
              <w:t>Objective</w:t>
            </w:r>
          </w:p>
        </w:tc>
        <w:tc>
          <w:tcPr>
            <w:tcW w:w="6960" w:type="dxa"/>
          </w:tcPr>
          <w:p>
            <w:r>
              <w:t>The primary objective is to make common legal document preparation more accessible by guiding users through relevant questions, generating structured drafts from approved templates and explaining key clauses in plain language. The system should encourage careful review and appropriate professional advice.</w:t>
            </w:r>
          </w:p>
        </w:tc>
      </w:tr>
      <w:tr>
        <w:trPr>
          <w:trHeight w:val="1000" w:hRule="atLeast"/>
        </w:trPr>
        <w:tc>
          <w:tcPr>
            <w:tcW w:w="2400" w:type="dxa"/>
          </w:tcPr>
          <w:p>
            <w:pPr>
              <w:pStyle w:val="TableParagraph"/>
              <w:spacing w:before="114"/>
              <w:rPr>
                <w:sz w:val="24"/>
              </w:rPr>
            </w:pPr>
            <w:r>
              <w:rPr>
                <w:spacing w:val="-2"/>
                <w:sz w:val="24"/>
              </w:rPr>
              <w:t>Scope</w:t>
            </w:r>
          </w:p>
        </w:tc>
        <w:tc>
          <w:tcPr>
            <w:tcW w:w="6960" w:type="dxa"/>
          </w:tcPr>
          <w:p>
            <w:r>
              <w:t>The project covers a guided document-intake workflow, a template library for selected document types, AI-assisted draft generation, clause explanations, validation checks for missing fields, document preview and export, a web interface, an API service and secure cloud deployment. The initial release is limited to clearly stated jurisdictions and document categories.</w:t>
            </w:r>
          </w:p>
        </w:tc>
      </w:tr>
      <w:tr>
        <w:trPr>
          <w:trHeight w:val="479" w:hRule="atLeast"/>
        </w:trPr>
        <w:tc>
          <w:tcPr>
            <w:tcW w:w="9360" w:type="dxa"/>
            <w:gridSpan w:val="2"/>
          </w:tcPr>
          <w:p>
            <w:pPr>
              <w:pStyle w:val="TableParagraph"/>
              <w:spacing w:before="132"/>
              <w:rPr>
                <w:b/>
                <w:sz w:val="24"/>
              </w:rPr>
            </w:pPr>
            <w:r>
              <w:rPr>
                <w:b/>
                <w:sz w:val="24"/>
              </w:rPr>
              <w:t>Problem</w:t>
            </w:r>
            <w:r>
              <w:rPr>
                <w:b/>
                <w:spacing w:val="-5"/>
                <w:sz w:val="24"/>
              </w:rPr>
              <w:t> </w:t>
            </w:r>
            <w:r>
              <w:rPr>
                <w:b/>
                <w:spacing w:val="-2"/>
                <w:sz w:val="24"/>
              </w:rPr>
              <w:t>Statement</w:t>
            </w:r>
          </w:p>
        </w:tc>
      </w:tr>
      <w:tr>
        <w:trPr>
          <w:trHeight w:val="1039" w:hRule="atLeast"/>
        </w:trPr>
        <w:tc>
          <w:tcPr>
            <w:tcW w:w="2400" w:type="dxa"/>
          </w:tcPr>
          <w:p>
            <w:pPr>
              <w:pStyle w:val="TableParagraph"/>
              <w:spacing w:before="123"/>
              <w:rPr>
                <w:sz w:val="24"/>
              </w:rPr>
            </w:pPr>
            <w:r>
              <w:rPr>
                <w:spacing w:val="-2"/>
                <w:sz w:val="24"/>
              </w:rPr>
              <w:t>Description</w:t>
            </w:r>
          </w:p>
        </w:tc>
        <w:tc>
          <w:tcPr>
            <w:tcW w:w="6960" w:type="dxa"/>
          </w:tcPr>
          <w:p>
            <w:r>
              <w:t>Individuals and small organisations may find it difficult to identify the right document format, understand unfamiliar legal language and complete forms consistently. Generic online templates may be outdated, incomplete or unsuitable for a user’s jurisdiction and circumstances.</w:t>
            </w:r>
          </w:p>
        </w:tc>
      </w:tr>
      <w:tr>
        <w:trPr>
          <w:trHeight w:val="1000" w:hRule="atLeast"/>
        </w:trPr>
        <w:tc>
          <w:tcPr>
            <w:tcW w:w="2400" w:type="dxa"/>
          </w:tcPr>
          <w:p>
            <w:pPr>
              <w:pStyle w:val="TableParagraph"/>
              <w:spacing w:before="96"/>
              <w:rPr>
                <w:sz w:val="24"/>
              </w:rPr>
            </w:pPr>
            <w:r>
              <w:rPr>
                <w:spacing w:val="-2"/>
                <w:sz w:val="24"/>
              </w:rPr>
              <w:t>Impact</w:t>
            </w:r>
          </w:p>
        </w:tc>
        <w:tc>
          <w:tcPr>
            <w:tcW w:w="6960" w:type="dxa"/>
          </w:tcPr>
          <w:p>
            <w:r>
              <w:t>A guided drafting workflow can reduce avoidable formatting and completeness errors, save time and help users understand what a draft says. Clear scope limits, privacy safeguards and review prompts help reduce the risk of users treating an AI-generated draft as definitive legal advice.</w:t>
            </w:r>
          </w:p>
        </w:tc>
      </w:tr>
      <w:tr>
        <w:trPr>
          <w:trHeight w:val="460" w:hRule="atLeast"/>
        </w:trPr>
        <w:tc>
          <w:tcPr>
            <w:tcW w:w="9360" w:type="dxa"/>
            <w:gridSpan w:val="2"/>
          </w:tcPr>
          <w:p>
            <w:pPr>
              <w:pStyle w:val="TableParagraph"/>
              <w:spacing w:before="124"/>
              <w:rPr>
                <w:b/>
                <w:sz w:val="24"/>
              </w:rPr>
            </w:pPr>
            <w:r>
              <w:rPr>
                <w:b/>
                <w:sz w:val="24"/>
              </w:rPr>
              <w:t>Proposed</w:t>
            </w:r>
            <w:r>
              <w:rPr>
                <w:b/>
                <w:spacing w:val="-5"/>
                <w:sz w:val="24"/>
              </w:rPr>
              <w:t> </w:t>
            </w:r>
            <w:r>
              <w:rPr>
                <w:b/>
                <w:spacing w:val="-2"/>
                <w:sz w:val="24"/>
              </w:rPr>
              <w:t>Solution</w:t>
            </w:r>
          </w:p>
        </w:tc>
      </w:tr>
      <w:tr>
        <w:trPr>
          <w:trHeight w:val="1040" w:hRule="atLeast"/>
        </w:trPr>
        <w:tc>
          <w:tcPr>
            <w:tcW w:w="2400" w:type="dxa"/>
          </w:tcPr>
          <w:p>
            <w:pPr>
              <w:pStyle w:val="TableParagraph"/>
              <w:spacing w:before="135"/>
              <w:rPr>
                <w:sz w:val="24"/>
              </w:rPr>
            </w:pPr>
            <w:r>
              <w:rPr>
                <w:spacing w:val="-2"/>
                <w:sz w:val="24"/>
              </w:rPr>
              <w:t>Approach</w:t>
            </w:r>
          </w:p>
        </w:tc>
        <w:tc>
          <w:tcPr>
            <w:tcW w:w="6960" w:type="dxa"/>
          </w:tcPr>
          <w:p>
            <w:r>
              <w:t>LegalEase combines structured questionnaires and approved templates with an AI language-model layer to draft and explain content. Rules-based validation checks required fields and flags inconsistencies; the language model assists with wording but does not determine legal rights or guarantee enforceability. Outputs include a jurisdiction/scope notice and a recommendation for qualified review where appropriate.</w:t>
            </w:r>
          </w:p>
        </w:tc>
      </w:tr>
      <w:tr>
        <w:trPr>
          <w:trHeight w:val="760" w:hRule="atLeast"/>
        </w:trPr>
        <w:tc>
          <w:tcPr>
            <w:tcW w:w="2400" w:type="dxa"/>
          </w:tcPr>
          <w:p>
            <w:pPr>
              <w:pStyle w:val="TableParagraph"/>
              <w:spacing w:before="108"/>
              <w:rPr>
                <w:sz w:val="24"/>
              </w:rPr>
            </w:pPr>
            <w:r>
              <w:rPr>
                <w:sz w:val="24"/>
              </w:rPr>
              <w:t>Key </w:t>
            </w:r>
            <w:r>
              <w:rPr>
                <w:spacing w:val="-2"/>
                <w:sz w:val="24"/>
              </w:rPr>
              <w:t>Features</w:t>
            </w:r>
          </w:p>
        </w:tc>
        <w:tc>
          <w:tcPr>
            <w:tcW w:w="6960" w:type="dxa"/>
          </w:tcPr>
          <w:p>
            <w:r>
              <w:t>- Guided intake that collects only information needed for the selected document.</w:t>
              <w:br/>
              <w:t>- Template-based drafting for an initial, clearly scoped set of documents, with editable fields and clause explanations.</w:t>
              <w:br/>
              <w:t>- Completeness checks, draft preview and DOCX/PDF export, with privacy-conscious handling and prominent professional-review disclaimers.</w:t>
            </w:r>
          </w:p>
        </w:tc>
      </w:tr>
    </w:tbl>
    <w:p>
      <w:pPr>
        <w:pStyle w:val="TableParagraph"/>
        <w:spacing w:after="0"/>
        <w:rPr>
          <w:sz w:val="24"/>
        </w:rPr>
        <w:sectPr>
          <w:headerReference w:type="default" r:id="rId5"/>
          <w:type w:val="continuous"/>
          <w:pgSz w:w="12240" w:h="15840"/>
          <w:pgMar w:header="0" w:footer="0" w:top="1400" w:bottom="280" w:left="1440" w:right="1080"/>
          <w:pgNumType w:start="1"/>
        </w:sectPr>
      </w:pPr>
    </w:p>
    <w:p>
      <w:pPr>
        <w:pStyle w:val="BodyText"/>
        <w:spacing w:before="5"/>
        <w:rPr>
          <w:sz w:val="3"/>
        </w:rPr>
      </w:pPr>
    </w:p>
    <w:p>
      <w:pPr>
        <w:pStyle w:val="BodyText"/>
        <w:spacing w:before="202"/>
      </w:pPr>
    </w:p>
    <w:p>
      <w:pPr>
        <w:pStyle w:val="Heading2"/>
      </w:pPr>
      <w:bookmarkStart w:name="Resource Requirements " w:id="3"/>
      <w:bookmarkEnd w:id="3"/>
      <w:r>
        <w:rPr>
          <w:b w:val="0"/>
        </w:rPr>
      </w:r>
      <w:r>
        <w:rPr/>
        <w:t>Resource</w:t>
      </w:r>
      <w:r>
        <w:rPr>
          <w:spacing w:val="-5"/>
        </w:rPr>
        <w:t> </w:t>
      </w:r>
      <w:r>
        <w:rPr>
          <w:spacing w:val="-2"/>
        </w:rPr>
        <w:t>Requirements</w:t>
      </w:r>
    </w:p>
    <w:p>
      <w:pPr>
        <w:pStyle w:val="BodyText"/>
        <w:spacing w:before="8"/>
        <w:rPr>
          <w:b/>
          <w:sz w:val="12"/>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480" w:hRule="atLeast"/>
        </w:trPr>
        <w:tc>
          <w:tcPr>
            <w:tcW w:w="3120" w:type="dxa"/>
          </w:tcPr>
          <w:p>
            <w:pPr>
              <w:pStyle w:val="TableParagraph"/>
              <w:spacing w:before="124"/>
              <w:rPr>
                <w:b/>
                <w:sz w:val="24"/>
              </w:rPr>
            </w:pPr>
            <w:r>
              <w:rPr>
                <w:b/>
                <w:sz w:val="24"/>
              </w:rPr>
              <w:t>Resource</w:t>
            </w:r>
            <w:r>
              <w:rPr>
                <w:b/>
                <w:spacing w:val="-7"/>
                <w:sz w:val="24"/>
              </w:rPr>
              <w:t> </w:t>
            </w:r>
            <w:r>
              <w:rPr>
                <w:b/>
                <w:spacing w:val="-4"/>
                <w:sz w:val="24"/>
              </w:rPr>
              <w:t>Type</w:t>
            </w:r>
          </w:p>
        </w:tc>
        <w:tc>
          <w:tcPr>
            <w:tcW w:w="3120" w:type="dxa"/>
          </w:tcPr>
          <w:p>
            <w:pPr>
              <w:pStyle w:val="TableParagraph"/>
              <w:spacing w:before="124"/>
              <w:rPr>
                <w:b/>
                <w:sz w:val="24"/>
              </w:rPr>
            </w:pPr>
            <w:r>
              <w:rPr>
                <w:b/>
                <w:spacing w:val="-2"/>
                <w:sz w:val="24"/>
              </w:rPr>
              <w:t>Description</w:t>
            </w:r>
          </w:p>
        </w:tc>
        <w:tc>
          <w:tcPr>
            <w:tcW w:w="3120" w:type="dxa"/>
          </w:tcPr>
          <w:p>
            <w:pPr>
              <w:pStyle w:val="TableParagraph"/>
              <w:spacing w:before="124"/>
              <w:rPr>
                <w:b/>
                <w:sz w:val="24"/>
              </w:rPr>
            </w:pPr>
            <w:r>
              <w:rPr>
                <w:b/>
                <w:spacing w:val="-2"/>
                <w:sz w:val="24"/>
              </w:rPr>
              <w:t>Specification/Allocation</w:t>
            </w:r>
          </w:p>
        </w:tc>
      </w:tr>
      <w:tr>
        <w:trPr>
          <w:trHeight w:val="460" w:hRule="atLeast"/>
        </w:trPr>
        <w:tc>
          <w:tcPr>
            <w:tcW w:w="9360" w:type="dxa"/>
            <w:gridSpan w:val="3"/>
          </w:tcPr>
          <w:p>
            <w:pPr>
              <w:pStyle w:val="TableParagraph"/>
              <w:rPr>
                <w:b/>
                <w:sz w:val="24"/>
              </w:rPr>
            </w:pPr>
            <w:r>
              <w:rPr>
                <w:b/>
                <w:spacing w:val="-2"/>
                <w:sz w:val="24"/>
              </w:rPr>
              <w:t>Hardware</w:t>
            </w:r>
          </w:p>
        </w:tc>
      </w:tr>
      <w:tr>
        <w:trPr>
          <w:trHeight w:val="760" w:hRule="atLeast"/>
        </w:trPr>
        <w:tc>
          <w:tcPr>
            <w:tcW w:w="3120" w:type="dxa"/>
          </w:tcPr>
          <w:p>
            <w:pPr>
              <w:pStyle w:val="TableParagraph"/>
              <w:spacing w:before="269"/>
              <w:rPr>
                <w:sz w:val="24"/>
              </w:rPr>
            </w:pPr>
            <w:r>
              <w:rPr>
                <w:sz w:val="24"/>
              </w:rPr>
              <w:t>Computing </w:t>
            </w:r>
            <w:r>
              <w:rPr>
                <w:spacing w:val="-2"/>
                <w:sz w:val="24"/>
              </w:rPr>
              <w:t>Resources</w:t>
            </w:r>
          </w:p>
        </w:tc>
        <w:tc>
          <w:tcPr>
            <w:tcW w:w="3120" w:type="dxa"/>
          </w:tcPr>
          <w:p>
            <w:pPr>
              <w:pStyle w:val="TableParagraph"/>
              <w:spacing w:before="131"/>
              <w:ind w:right="517"/>
              <w:rPr>
                <w:sz w:val="24"/>
              </w:rPr>
            </w:pPr>
            <w:r>
              <w:rPr>
                <w:sz w:val="24"/>
              </w:rPr>
              <w:t>CPU/GPU</w:t>
            </w:r>
            <w:r>
              <w:rPr>
                <w:spacing w:val="-15"/>
                <w:sz w:val="24"/>
              </w:rPr>
              <w:t> </w:t>
            </w:r>
            <w:r>
              <w:rPr>
                <w:sz w:val="24"/>
              </w:rPr>
              <w:t>specifications, number of cores</w:t>
            </w:r>
          </w:p>
        </w:tc>
        <w:tc>
          <w:tcPr>
            <w:tcW w:w="3120" w:type="dxa"/>
          </w:tcPr>
          <w:p>
            <w:r>
              <w:t>Local CPU laptop for development and testing; cloud application service for deployment</w:t>
            </w:r>
          </w:p>
        </w:tc>
      </w:tr>
      <w:tr>
        <w:trPr>
          <w:trHeight w:val="480" w:hRule="atLeast"/>
        </w:trPr>
        <w:tc>
          <w:tcPr>
            <w:tcW w:w="3120" w:type="dxa"/>
          </w:tcPr>
          <w:p>
            <w:pPr>
              <w:pStyle w:val="TableParagraph"/>
              <w:spacing w:before="128"/>
              <w:rPr>
                <w:sz w:val="24"/>
              </w:rPr>
            </w:pPr>
            <w:r>
              <w:rPr>
                <w:spacing w:val="-2"/>
                <w:sz w:val="24"/>
              </w:rPr>
              <w:t>Memory</w:t>
            </w:r>
          </w:p>
        </w:tc>
        <w:tc>
          <w:tcPr>
            <w:tcW w:w="3120" w:type="dxa"/>
          </w:tcPr>
          <w:p>
            <w:pPr>
              <w:pStyle w:val="TableParagraph"/>
              <w:spacing w:before="128"/>
              <w:rPr>
                <w:sz w:val="24"/>
              </w:rPr>
            </w:pPr>
            <w:r>
              <w:rPr>
                <w:sz w:val="24"/>
              </w:rPr>
              <w:t>RAM </w:t>
            </w:r>
            <w:r>
              <w:rPr>
                <w:spacing w:val="-2"/>
                <w:sz w:val="24"/>
              </w:rPr>
              <w:t>specifications</w:t>
            </w:r>
          </w:p>
        </w:tc>
        <w:tc>
          <w:tcPr>
            <w:tcW w:w="3120" w:type="dxa"/>
          </w:tcPr>
          <w:p>
            <w:r>
              <w:t>Local laptop RAM for development; modest cloud instance sized for the web application and API</w:t>
            </w:r>
          </w:p>
        </w:tc>
      </w:tr>
      <w:tr>
        <w:trPr>
          <w:trHeight w:val="759" w:hRule="atLeast"/>
        </w:trPr>
        <w:tc>
          <w:tcPr>
            <w:tcW w:w="3120" w:type="dxa"/>
          </w:tcPr>
          <w:p>
            <w:pPr>
              <w:pStyle w:val="TableParagraph"/>
              <w:spacing w:before="257"/>
              <w:rPr>
                <w:sz w:val="24"/>
              </w:rPr>
            </w:pPr>
            <w:r>
              <w:rPr>
                <w:spacing w:val="-2"/>
                <w:sz w:val="24"/>
              </w:rPr>
              <w:t>Storage</w:t>
            </w:r>
          </w:p>
        </w:tc>
        <w:tc>
          <w:tcPr>
            <w:tcW w:w="3120" w:type="dxa"/>
          </w:tcPr>
          <w:p>
            <w:pPr>
              <w:pStyle w:val="TableParagraph"/>
              <w:spacing w:before="119"/>
              <w:rPr>
                <w:sz w:val="24"/>
              </w:rPr>
            </w:pPr>
            <w:r>
              <w:rPr>
                <w:sz w:val="24"/>
              </w:rPr>
              <w:t>Disk</w:t>
            </w:r>
            <w:r>
              <w:rPr>
                <w:spacing w:val="-10"/>
                <w:sz w:val="24"/>
              </w:rPr>
              <w:t> </w:t>
            </w:r>
            <w:r>
              <w:rPr>
                <w:sz w:val="24"/>
              </w:rPr>
              <w:t>space</w:t>
            </w:r>
            <w:r>
              <w:rPr>
                <w:spacing w:val="-10"/>
                <w:sz w:val="24"/>
              </w:rPr>
              <w:t> </w:t>
            </w:r>
            <w:r>
              <w:rPr>
                <w:sz w:val="24"/>
              </w:rPr>
              <w:t>for</w:t>
            </w:r>
            <w:r>
              <w:rPr>
                <w:spacing w:val="-10"/>
                <w:sz w:val="24"/>
              </w:rPr>
              <w:t> </w:t>
            </w:r>
            <w:r>
              <w:rPr>
                <w:sz w:val="24"/>
              </w:rPr>
              <w:t>data,</w:t>
            </w:r>
            <w:r>
              <w:rPr>
                <w:spacing w:val="-10"/>
                <w:sz w:val="24"/>
              </w:rPr>
              <w:t> </w:t>
            </w:r>
            <w:r>
              <w:rPr>
                <w:sz w:val="24"/>
              </w:rPr>
              <w:t>models, and logs</w:t>
            </w:r>
          </w:p>
        </w:tc>
        <w:tc>
          <w:tcPr>
            <w:tcW w:w="3120" w:type="dxa"/>
          </w:tcPr>
          <w:p>
            <w:r>
              <w:t>Encrypted storage for application assets and user documents; retention kept to a minimum and configurable</w:t>
            </w:r>
          </w:p>
        </w:tc>
      </w:tr>
      <w:tr>
        <w:trPr>
          <w:trHeight w:val="460" w:hRule="atLeast"/>
        </w:trPr>
        <w:tc>
          <w:tcPr>
            <w:tcW w:w="9360" w:type="dxa"/>
            <w:gridSpan w:val="3"/>
          </w:tcPr>
          <w:p>
            <w:pPr>
              <w:pStyle w:val="TableParagraph"/>
              <w:spacing w:before="116"/>
              <w:rPr>
                <w:b/>
                <w:sz w:val="24"/>
              </w:rPr>
            </w:pPr>
            <w:r>
              <w:rPr>
                <w:b/>
                <w:spacing w:val="-2"/>
                <w:sz w:val="24"/>
              </w:rPr>
              <w:t>Software</w:t>
            </w:r>
          </w:p>
        </w:tc>
      </w:tr>
      <w:tr>
        <w:trPr>
          <w:trHeight w:val="480" w:hRule="atLeast"/>
        </w:trPr>
        <w:tc>
          <w:tcPr>
            <w:tcW w:w="3120" w:type="dxa"/>
          </w:tcPr>
          <w:p>
            <w:pPr>
              <w:pStyle w:val="TableParagraph"/>
              <w:spacing w:before="127"/>
              <w:rPr>
                <w:sz w:val="24"/>
              </w:rPr>
            </w:pPr>
            <w:r>
              <w:rPr>
                <w:spacing w:val="-2"/>
                <w:sz w:val="24"/>
              </w:rPr>
              <w:t>Frameworks</w:t>
            </w:r>
          </w:p>
        </w:tc>
        <w:tc>
          <w:tcPr>
            <w:tcW w:w="3120" w:type="dxa"/>
          </w:tcPr>
          <w:p>
            <w:r>
              <w:t>Frameworks</w:t>
            </w:r>
          </w:p>
        </w:tc>
        <w:tc>
          <w:tcPr>
            <w:tcW w:w="3120" w:type="dxa"/>
          </w:tcPr>
          <w:p>
            <w:r>
              <w:t>Application frameworks</w:t>
            </w:r>
          </w:p>
        </w:tc>
      </w:tr>
      <w:tr>
        <w:trPr>
          <w:trHeight w:val="760" w:hRule="atLeast"/>
        </w:trPr>
        <w:tc>
          <w:tcPr>
            <w:tcW w:w="3120" w:type="dxa"/>
          </w:tcPr>
          <w:p>
            <w:pPr>
              <w:pStyle w:val="TableParagraph"/>
              <w:spacing w:before="256"/>
              <w:rPr>
                <w:sz w:val="24"/>
              </w:rPr>
            </w:pPr>
            <w:r>
              <w:rPr>
                <w:spacing w:val="-2"/>
                <w:sz w:val="24"/>
              </w:rPr>
              <w:t>Libraries</w:t>
            </w:r>
          </w:p>
        </w:tc>
        <w:tc>
          <w:tcPr>
            <w:tcW w:w="3120" w:type="dxa"/>
          </w:tcPr>
          <w:p>
            <w:r>
              <w:t>Libraries</w:t>
            </w:r>
          </w:p>
        </w:tc>
        <w:tc>
          <w:tcPr>
            <w:tcW w:w="3120" w:type="dxa"/>
          </w:tcPr>
          <w:p>
            <w:r>
              <w:t>Core libraries and integrations</w:t>
            </w:r>
          </w:p>
        </w:tc>
      </w:tr>
      <w:tr>
        <w:trPr>
          <w:trHeight w:val="460" w:hRule="atLeast"/>
        </w:trPr>
        <w:tc>
          <w:tcPr>
            <w:tcW w:w="3120" w:type="dxa"/>
          </w:tcPr>
          <w:p>
            <w:pPr>
              <w:pStyle w:val="TableParagraph"/>
              <w:rPr>
                <w:sz w:val="24"/>
              </w:rPr>
            </w:pPr>
            <w:r>
              <w:rPr>
                <w:sz w:val="24"/>
              </w:rPr>
              <w:t>Development </w:t>
            </w:r>
            <w:r>
              <w:rPr>
                <w:spacing w:val="-2"/>
                <w:sz w:val="24"/>
              </w:rPr>
              <w:t>Environment</w:t>
            </w:r>
          </w:p>
        </w:tc>
        <w:tc>
          <w:tcPr>
            <w:tcW w:w="3120" w:type="dxa"/>
          </w:tcPr>
          <w:p>
            <w:pPr>
              <w:pStyle w:val="TableParagraph"/>
              <w:rPr>
                <w:sz w:val="24"/>
              </w:rPr>
            </w:pPr>
            <w:r>
              <w:rPr>
                <w:spacing w:val="-5"/>
                <w:sz w:val="24"/>
              </w:rPr>
              <w:t>IDE</w:t>
            </w:r>
          </w:p>
        </w:tc>
        <w:tc>
          <w:tcPr>
            <w:tcW w:w="3120" w:type="dxa"/>
          </w:tcPr>
          <w:p>
            <w:r>
              <w:t>VS Code, Python 3.11+, Git and GitHub; environment-based secrets management</w:t>
            </w:r>
          </w:p>
        </w:tc>
      </w:tr>
      <w:tr>
        <w:trPr>
          <w:trHeight w:val="479" w:hRule="atLeast"/>
        </w:trPr>
        <w:tc>
          <w:tcPr>
            <w:tcW w:w="9360" w:type="dxa"/>
            <w:gridSpan w:val="3"/>
          </w:tcPr>
          <w:p>
            <w:pPr>
              <w:pStyle w:val="TableParagraph"/>
              <w:spacing w:before="131"/>
              <w:rPr>
                <w:b/>
                <w:sz w:val="24"/>
              </w:rPr>
            </w:pPr>
            <w:r>
              <w:rPr>
                <w:b/>
                <w:spacing w:val="-4"/>
                <w:sz w:val="24"/>
              </w:rPr>
              <w:t>Data</w:t>
            </w:r>
          </w:p>
        </w:tc>
      </w:tr>
      <w:tr>
        <w:trPr>
          <w:trHeight w:val="760" w:hRule="atLeast"/>
        </w:trPr>
        <w:tc>
          <w:tcPr>
            <w:tcW w:w="3120" w:type="dxa"/>
          </w:tcPr>
          <w:p>
            <w:pPr>
              <w:pStyle w:val="TableParagraph"/>
              <w:spacing w:before="260"/>
              <w:rPr>
                <w:sz w:val="24"/>
              </w:rPr>
            </w:pPr>
            <w:r>
              <w:rPr>
                <w:spacing w:val="-4"/>
                <w:sz w:val="24"/>
              </w:rPr>
              <w:t>Data</w:t>
            </w:r>
          </w:p>
        </w:tc>
        <w:tc>
          <w:tcPr>
            <w:tcW w:w="3120" w:type="dxa"/>
          </w:tcPr>
          <w:p>
            <w:r>
              <w:t>Test Data</w:t>
            </w:r>
          </w:p>
        </w:tc>
        <w:tc>
          <w:tcPr>
            <w:tcW w:w="3120" w:type="dxa"/>
          </w:tcPr>
          <w:p>
            <w:r>
              <w:t>Source, scope and format</w:t>
            </w:r>
          </w:p>
        </w:tc>
      </w:tr>
    </w:tbl>
    <w:sectPr>
      <w:pgSz w:w="12240" w:h="15840"/>
      <w:pgMar w:header="0" w:footer="0" w:top="14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480832">
          <wp:simplePos x="0" y="0"/>
          <wp:positionH relativeFrom="page">
            <wp:posOffset>447675</wp:posOffset>
          </wp:positionH>
          <wp:positionV relativeFrom="page">
            <wp:posOffset>123825</wp:posOffset>
          </wp:positionV>
          <wp:extent cx="1828800" cy="7715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sz w:val="20"/>
      </w:rPr>
      <w:drawing>
        <wp:anchor distT="0" distB="0" distL="0" distR="0" allowOverlap="1" layoutInCell="1" locked="0" behindDoc="1" simplePos="0" relativeHeight="487481344">
          <wp:simplePos x="0" y="0"/>
          <wp:positionH relativeFrom="page">
            <wp:posOffset>6124575</wp:posOffset>
          </wp:positionH>
          <wp:positionV relativeFrom="page">
            <wp:posOffset>233360</wp:posOffset>
          </wp:positionV>
          <wp:extent cx="1095375" cy="5048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90" w:hanging="15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6" w:hanging="150"/>
      </w:pPr>
      <w:rPr>
        <w:rFonts w:hint="default"/>
        <w:lang w:val="en-US" w:eastAsia="en-US" w:bidi="ar-SA"/>
      </w:rPr>
    </w:lvl>
    <w:lvl w:ilvl="2">
      <w:start w:val="0"/>
      <w:numFmt w:val="bullet"/>
      <w:lvlText w:val="•"/>
      <w:lvlJc w:val="left"/>
      <w:pPr>
        <w:ind w:left="1612" w:hanging="150"/>
      </w:pPr>
      <w:rPr>
        <w:rFonts w:hint="default"/>
        <w:lang w:val="en-US" w:eastAsia="en-US" w:bidi="ar-SA"/>
      </w:rPr>
    </w:lvl>
    <w:lvl w:ilvl="3">
      <w:start w:val="0"/>
      <w:numFmt w:val="bullet"/>
      <w:lvlText w:val="•"/>
      <w:lvlJc w:val="left"/>
      <w:pPr>
        <w:ind w:left="2278" w:hanging="150"/>
      </w:pPr>
      <w:rPr>
        <w:rFonts w:hint="default"/>
        <w:lang w:val="en-US" w:eastAsia="en-US" w:bidi="ar-SA"/>
      </w:rPr>
    </w:lvl>
    <w:lvl w:ilvl="4">
      <w:start w:val="0"/>
      <w:numFmt w:val="bullet"/>
      <w:lvlText w:val="•"/>
      <w:lvlJc w:val="left"/>
      <w:pPr>
        <w:ind w:left="2944" w:hanging="150"/>
      </w:pPr>
      <w:rPr>
        <w:rFonts w:hint="default"/>
        <w:lang w:val="en-US" w:eastAsia="en-US" w:bidi="ar-SA"/>
      </w:rPr>
    </w:lvl>
    <w:lvl w:ilvl="5">
      <w:start w:val="0"/>
      <w:numFmt w:val="bullet"/>
      <w:lvlText w:val="•"/>
      <w:lvlJc w:val="left"/>
      <w:pPr>
        <w:ind w:left="3610" w:hanging="150"/>
      </w:pPr>
      <w:rPr>
        <w:rFonts w:hint="default"/>
        <w:lang w:val="en-US" w:eastAsia="en-US" w:bidi="ar-SA"/>
      </w:rPr>
    </w:lvl>
    <w:lvl w:ilvl="6">
      <w:start w:val="0"/>
      <w:numFmt w:val="bullet"/>
      <w:lvlText w:val="•"/>
      <w:lvlJc w:val="left"/>
      <w:pPr>
        <w:ind w:left="4276" w:hanging="150"/>
      </w:pPr>
      <w:rPr>
        <w:rFonts w:hint="default"/>
        <w:lang w:val="en-US" w:eastAsia="en-US" w:bidi="ar-SA"/>
      </w:rPr>
    </w:lvl>
    <w:lvl w:ilvl="7">
      <w:start w:val="0"/>
      <w:numFmt w:val="bullet"/>
      <w:lvlText w:val="•"/>
      <w:lvlJc w:val="left"/>
      <w:pPr>
        <w:ind w:left="4942" w:hanging="150"/>
      </w:pPr>
      <w:rPr>
        <w:rFonts w:hint="default"/>
        <w:lang w:val="en-US" w:eastAsia="en-US" w:bidi="ar-SA"/>
      </w:rPr>
    </w:lvl>
    <w:lvl w:ilvl="8">
      <w:start w:val="0"/>
      <w:numFmt w:val="bullet"/>
      <w:lvlText w:val="•"/>
      <w:lvlJc w:val="left"/>
      <w:pPr>
        <w:ind w:left="5608" w:hanging="15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8"/>
      <w:ind w:right="222"/>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15"/>
      <w:ind w:left="12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terms:created xsi:type="dcterms:W3CDTF">2026-09-30T04:47:18Z</dcterms:created>
  <dcterms:modified xsi:type="dcterms:W3CDTF">2026-09-30T04:47:18Z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