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8205" w:val="left" w:leader="none"/>
        </w:tabs>
        <w:spacing w:line="240" w:lineRule="auto"/>
        <w:ind w:left="570" w:right="0" w:firstLine="0"/>
        <w:rPr>
          <w:rFonts w:ascii="Times New Roman"/>
          <w:position w:val="21"/>
          <w:sz w:val="20"/>
        </w:rPr>
      </w:pPr>
      <w:r>
        <w:tab/>
      </w:r>
    </w:p>
    <w:p>
      <w:pPr>
        <w:pStyle w:val="Heading1"/>
      </w:pPr>
      <w:r>
        <w:t>Scalability &amp; Future Plan</w:t>
      </w:r>
    </w:p>
    <w:p>
      <w:pPr>
        <w:pStyle w:val="BodyText"/>
        <w:spacing w:before="48"/>
        <w:rPr>
          <w:rFonts w:ascii="Arial"/>
          <w:b/>
        </w:rPr>
      </w:pPr>
    </w:p>
    <w:tbl>
      <w:tblPr>
        <w:tblW w:w="0" w:type="auto"/>
        <w:jc w:val="left"/>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0"/>
        <w:gridCol w:w="6820"/>
      </w:tblGrid>
      <w:tr>
        <w:trPr>
          <w:trHeight w:val="419" w:hRule="atLeast"/>
        </w:trPr>
        <w:tc>
          <w:tcPr>
            <w:tcW w:w="2820" w:type="dxa"/>
          </w:tcPr>
          <w:p>
            <w:pPr>
              <w:pStyle w:val="TableParagraph"/>
              <w:spacing w:before="111"/>
              <w:ind w:left="127"/>
              <w:rPr>
                <w:b/>
                <w:sz w:val="20"/>
              </w:rPr>
            </w:pPr>
            <w:r>
              <w:t>Date</w:t>
            </w:r>
          </w:p>
        </w:tc>
        <w:tc>
          <w:tcPr>
            <w:tcW w:w="6820" w:type="dxa"/>
          </w:tcPr>
          <w:p>
            <w:pPr>
              <w:pStyle w:val="TableParagraph"/>
              <w:spacing w:before="111"/>
              <w:ind w:left="143"/>
              <w:rPr>
                <w:rFonts w:ascii="Arial MT"/>
                <w:sz w:val="20"/>
              </w:rPr>
            </w:pPr>
            <w:r>
              <w:t>02 October 2026</w:t>
            </w:r>
          </w:p>
        </w:tc>
      </w:tr>
      <w:tr>
        <w:trPr>
          <w:trHeight w:val="420" w:hRule="atLeast"/>
        </w:trPr>
        <w:tc>
          <w:tcPr>
            <w:tcW w:w="2820" w:type="dxa"/>
          </w:tcPr>
          <w:p>
            <w:pPr>
              <w:pStyle w:val="TableParagraph"/>
              <w:spacing w:before="106"/>
              <w:ind w:left="127"/>
              <w:rPr>
                <w:b/>
                <w:sz w:val="20"/>
              </w:rPr>
            </w:pPr>
            <w:r>
              <w:t>Team ID</w:t>
            </w:r>
          </w:p>
        </w:tc>
        <w:tc>
          <w:tcPr>
            <w:tcW w:w="6820" w:type="dxa"/>
          </w:tcPr>
          <w:p>
            <w:pPr>
              <w:pStyle w:val="TableParagraph"/>
              <w:spacing w:before="106"/>
              <w:ind w:left="143"/>
              <w:rPr>
                <w:rFonts w:ascii="Arial MT"/>
                <w:sz w:val="20"/>
              </w:rPr>
            </w:pPr>
            <w:r>
              <w:t>SWTID-2026-2037</w:t>
            </w:r>
          </w:p>
        </w:tc>
      </w:tr>
      <w:tr>
        <w:trPr>
          <w:trHeight w:val="399" w:hRule="atLeast"/>
        </w:trPr>
        <w:tc>
          <w:tcPr>
            <w:tcW w:w="2820" w:type="dxa"/>
          </w:tcPr>
          <w:p>
            <w:pPr>
              <w:pStyle w:val="TableParagraph"/>
              <w:spacing w:before="101"/>
              <w:ind w:left="127"/>
              <w:rPr>
                <w:b/>
                <w:sz w:val="20"/>
              </w:rPr>
            </w:pPr>
            <w:r>
              <w:t>Project Name</w:t>
            </w:r>
          </w:p>
        </w:tc>
        <w:tc>
          <w:tcPr>
            <w:tcW w:w="6820" w:type="dxa"/>
          </w:tcPr>
          <w:p>
            <w:pPr>
              <w:pStyle w:val="TableParagraph"/>
              <w:spacing w:before="101"/>
              <w:ind w:left="143"/>
              <w:rPr>
                <w:rFonts w:ascii="Arial MT"/>
                <w:sz w:val="20"/>
              </w:rPr>
            </w:pPr>
            <w:r>
              <w:t>LegalEase</w:t>
            </w:r>
          </w:p>
        </w:tc>
      </w:tr>
      <w:tr>
        <w:trPr>
          <w:trHeight w:val="420" w:hRule="atLeast"/>
        </w:trPr>
        <w:tc>
          <w:tcPr>
            <w:tcW w:w="2820" w:type="dxa"/>
          </w:tcPr>
          <w:p>
            <w:pPr>
              <w:pStyle w:val="TableParagraph"/>
              <w:spacing w:before="116"/>
              <w:ind w:left="127"/>
              <w:rPr>
                <w:b/>
                <w:sz w:val="20"/>
              </w:rPr>
            </w:pPr>
            <w:r>
              <w:t>Maximum Marks</w:t>
            </w:r>
          </w:p>
        </w:tc>
        <w:tc>
          <w:tcPr>
            <w:tcW w:w="6820" w:type="dxa"/>
          </w:tcPr>
          <w:p>
            <w:pPr>
              <w:pStyle w:val="TableParagraph"/>
              <w:spacing w:before="116"/>
              <w:ind w:left="143"/>
              <w:rPr>
                <w:rFonts w:ascii="Arial MT"/>
                <w:sz w:val="20"/>
              </w:rPr>
            </w:pPr>
            <w:r>
              <w:t>1 Mark</w:t>
            </w:r>
          </w:p>
        </w:tc>
      </w:tr>
    </w:tbl>
    <w:p>
      <w:pPr>
        <w:pStyle w:val="BodyText"/>
        <w:spacing w:before="210"/>
        <w:rPr>
          <w:rFonts w:ascii="Arial"/>
          <w:b/>
          <w:sz w:val="28"/>
        </w:rPr>
      </w:pPr>
    </w:p>
    <w:p>
      <w:pPr>
        <w:pStyle w:val="Heading2"/>
      </w:pPr>
      <w:r>
        <w:t>Scalability &amp; Future Plan:</w:t>
      </w:r>
    </w:p>
    <w:p>
      <w:pPr>
        <w:pStyle w:val="BodyText"/>
        <w:spacing w:line="292" w:lineRule="auto" w:before="66"/>
        <w:ind w:left="540" w:right="584"/>
      </w:pPr>
      <w:r>
        <w:t>This document outlines how the current project solution can be scaled to handle larger user bases, increased data loads, or extended features in the future. It also captures the team's roadmap for enhancing and evolving the project beyond its current state.</w:t>
      </w:r>
    </w:p>
    <w:p>
      <w:pPr>
        <w:pStyle w:val="BodyText"/>
      </w:pPr>
    </w:p>
    <w:p>
      <w:pPr>
        <w:pStyle w:val="BodyText"/>
        <w:spacing w:before="57"/>
      </w:pPr>
    </w:p>
    <w:p>
      <w:pPr>
        <w:pStyle w:val="Heading2"/>
        <w:spacing w:before="1" w:after="38"/>
      </w:pPr>
      <w:r>
        <w:t>Current System Limitations:</w:t>
      </w:r>
    </w:p>
    <w:tbl>
      <w:tblPr>
        <w:tblW w:w="0" w:type="auto"/>
        <w:jc w:val="left"/>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0"/>
        <w:gridCol w:w="3980"/>
        <w:gridCol w:w="3400"/>
        <w:gridCol w:w="2380"/>
      </w:tblGrid>
      <w:tr>
        <w:trPr>
          <w:trHeight w:val="839" w:hRule="atLeast"/>
        </w:trPr>
        <w:tc>
          <w:tcPr>
            <w:tcW w:w="580" w:type="dxa"/>
          </w:tcPr>
          <w:p>
            <w:pPr>
              <w:pStyle w:val="TableParagraph"/>
              <w:spacing w:before="35"/>
              <w:rPr>
                <w:b/>
                <w:sz w:val="18"/>
              </w:rPr>
            </w:pPr>
          </w:p>
          <w:p>
            <w:pPr>
              <w:pStyle w:val="TableParagraph"/>
              <w:ind w:left="112"/>
              <w:rPr>
                <w:b/>
                <w:sz w:val="18"/>
              </w:rPr>
            </w:pPr>
            <w:r>
              <w:t>S.No</w:t>
            </w:r>
          </w:p>
        </w:tc>
        <w:tc>
          <w:tcPr>
            <w:tcW w:w="3980" w:type="dxa"/>
          </w:tcPr>
          <w:p>
            <w:pPr>
              <w:pStyle w:val="TableParagraph"/>
              <w:spacing w:before="35"/>
              <w:rPr>
                <w:b/>
                <w:sz w:val="18"/>
              </w:rPr>
            </w:pPr>
          </w:p>
          <w:p>
            <w:pPr>
              <w:pStyle w:val="TableParagraph"/>
              <w:ind w:left="102"/>
              <w:rPr>
                <w:b/>
                <w:sz w:val="18"/>
              </w:rPr>
            </w:pPr>
            <w:r>
              <w:t>Limitation</w:t>
            </w:r>
          </w:p>
        </w:tc>
        <w:tc>
          <w:tcPr>
            <w:tcW w:w="3400" w:type="dxa"/>
          </w:tcPr>
          <w:p>
            <w:pPr>
              <w:pStyle w:val="TableParagraph"/>
              <w:spacing w:before="35"/>
              <w:rPr>
                <w:b/>
                <w:sz w:val="18"/>
              </w:rPr>
            </w:pPr>
          </w:p>
          <w:p>
            <w:pPr>
              <w:pStyle w:val="TableParagraph"/>
              <w:ind w:left="98"/>
              <w:rPr>
                <w:b/>
                <w:sz w:val="18"/>
              </w:rPr>
            </w:pPr>
            <w:r>
              <w:t>Impact</w:t>
            </w:r>
          </w:p>
        </w:tc>
        <w:tc>
          <w:tcPr>
            <w:tcW w:w="2380" w:type="dxa"/>
          </w:tcPr>
          <w:p>
            <w:pPr>
              <w:pStyle w:val="TableParagraph"/>
              <w:spacing w:line="278" w:lineRule="auto" w:before="122"/>
              <w:ind w:left="103" w:right="395"/>
              <w:rPr>
                <w:b/>
                <w:sz w:val="18"/>
              </w:rPr>
            </w:pPr>
            <w:r>
              <w:t>Priority to Address (High / Medium / Low)</w:t>
            </w:r>
          </w:p>
        </w:tc>
      </w:tr>
      <w:tr>
        <w:trPr>
          <w:trHeight w:val="620" w:hRule="atLeast"/>
        </w:trPr>
        <w:tc>
          <w:tcPr>
            <w:tcW w:w="580" w:type="dxa"/>
          </w:tcPr>
          <w:p>
            <w:pPr>
              <w:pStyle w:val="TableParagraph"/>
              <w:spacing w:before="132"/>
              <w:ind w:left="112"/>
              <w:rPr>
                <w:rFonts w:ascii="Arial MT"/>
                <w:sz w:val="18"/>
              </w:rPr>
            </w:pPr>
            <w:r>
              <w:t>1</w:t>
            </w:r>
          </w:p>
        </w:tc>
        <w:tc>
          <w:tcPr>
            <w:tcW w:w="3980" w:type="dxa"/>
          </w:tcPr>
          <w:p>
            <w:pPr>
              <w:pStyle w:val="TableParagraph"/>
              <w:rPr>
                <w:rFonts w:ascii="Times New Roman"/>
                <w:sz w:val="18"/>
              </w:rPr>
            </w:pPr>
            <w:r>
              <w:t>Limited legal-domain training and validation data</w:t>
            </w:r>
          </w:p>
        </w:tc>
        <w:tc>
          <w:tcPr>
            <w:tcW w:w="3400" w:type="dxa"/>
          </w:tcPr>
          <w:p>
            <w:pPr>
              <w:pStyle w:val="TableParagraph"/>
              <w:rPr>
                <w:rFonts w:ascii="Times New Roman"/>
                <w:sz w:val="18"/>
              </w:rPr>
            </w:pPr>
            <w:r>
              <w:t>Accuracy across diverse real-world legal queries is not fully proven</w:t>
            </w:r>
          </w:p>
        </w:tc>
        <w:tc>
          <w:tcPr>
            <w:tcW w:w="2380" w:type="dxa"/>
          </w:tcPr>
          <w:p>
            <w:pPr>
              <w:pStyle w:val="TableParagraph"/>
              <w:rPr>
                <w:rFonts w:ascii="Times New Roman"/>
                <w:sz w:val="18"/>
              </w:rPr>
            </w:pPr>
            <w:r>
              <w:t>High</w:t>
            </w:r>
          </w:p>
        </w:tc>
      </w:tr>
      <w:tr>
        <w:trPr>
          <w:trHeight w:val="600" w:hRule="atLeast"/>
        </w:trPr>
        <w:tc>
          <w:tcPr>
            <w:tcW w:w="580" w:type="dxa"/>
          </w:tcPr>
          <w:p>
            <w:pPr>
              <w:pStyle w:val="TableParagraph"/>
              <w:spacing w:before="122"/>
              <w:ind w:left="112"/>
              <w:rPr>
                <w:rFonts w:ascii="Arial MT"/>
                <w:sz w:val="18"/>
              </w:rPr>
            </w:pPr>
            <w:r>
              <w:t>2</w:t>
            </w:r>
          </w:p>
        </w:tc>
        <w:tc>
          <w:tcPr>
            <w:tcW w:w="3980" w:type="dxa"/>
          </w:tcPr>
          <w:p>
            <w:pPr>
              <w:pStyle w:val="TableParagraph"/>
              <w:rPr>
                <w:rFonts w:ascii="Times New Roman"/>
                <w:sz w:val="18"/>
              </w:rPr>
            </w:pPr>
            <w:r>
              <w:t>No user accounts or database</w:t>
            </w:r>
          </w:p>
        </w:tc>
        <w:tc>
          <w:tcPr>
            <w:tcW w:w="3400" w:type="dxa"/>
          </w:tcPr>
          <w:p>
            <w:pPr>
              <w:pStyle w:val="TableParagraph"/>
              <w:rPr>
                <w:rFonts w:ascii="Times New Roman"/>
                <w:sz w:val="18"/>
              </w:rPr>
            </w:pPr>
            <w:r>
              <w:t>Cannot store legal query history or personalise user assistance</w:t>
            </w:r>
          </w:p>
        </w:tc>
        <w:tc>
          <w:tcPr>
            <w:tcW w:w="2380" w:type="dxa"/>
          </w:tcPr>
          <w:p>
            <w:pPr>
              <w:pStyle w:val="TableParagraph"/>
              <w:rPr>
                <w:rFonts w:ascii="Times New Roman"/>
                <w:sz w:val="18"/>
              </w:rPr>
            </w:pPr>
            <w:r>
              <w:t>High</w:t>
            </w:r>
          </w:p>
        </w:tc>
      </w:tr>
      <w:tr>
        <w:trPr>
          <w:trHeight w:val="619" w:hRule="atLeast"/>
        </w:trPr>
        <w:tc>
          <w:tcPr>
            <w:tcW w:w="580" w:type="dxa"/>
          </w:tcPr>
          <w:p>
            <w:pPr>
              <w:pStyle w:val="TableParagraph"/>
              <w:spacing w:before="132"/>
              <w:ind w:left="112"/>
              <w:rPr>
                <w:rFonts w:ascii="Arial MT"/>
                <w:sz w:val="18"/>
              </w:rPr>
            </w:pPr>
            <w:r>
              <w:t>3</w:t>
            </w:r>
          </w:p>
        </w:tc>
        <w:tc>
          <w:tcPr>
            <w:tcW w:w="3980" w:type="dxa"/>
          </w:tcPr>
          <w:p>
            <w:pPr>
              <w:pStyle w:val="TableParagraph"/>
              <w:rPr>
                <w:rFonts w:ascii="Times New Roman"/>
                <w:sz w:val="18"/>
              </w:rPr>
            </w:pPr>
            <w:r>
              <w:t>Depends on one external LLM API and a cold-starting container</w:t>
            </w:r>
          </w:p>
        </w:tc>
        <w:tc>
          <w:tcPr>
            <w:tcW w:w="3400" w:type="dxa"/>
          </w:tcPr>
          <w:p>
            <w:pPr>
              <w:pStyle w:val="TableParagraph"/>
              <w:rPr>
                <w:rFonts w:ascii="Times New Roman"/>
                <w:sz w:val="18"/>
              </w:rPr>
            </w:pPr>
            <w:r>
              <w:t>Slow first response and advice limited by API quota</w:t>
            </w:r>
          </w:p>
        </w:tc>
        <w:tc>
          <w:tcPr>
            <w:tcW w:w="2380" w:type="dxa"/>
          </w:tcPr>
          <w:p>
            <w:pPr>
              <w:pStyle w:val="TableParagraph"/>
              <w:rPr>
                <w:rFonts w:ascii="Times New Roman"/>
                <w:sz w:val="18"/>
              </w:rPr>
            </w:pPr>
            <w:r>
              <w:t>Medium</w:t>
            </w:r>
          </w:p>
        </w:tc>
      </w:tr>
    </w:tbl>
    <w:p>
      <w:pPr>
        <w:pStyle w:val="BodyText"/>
        <w:spacing w:before="231"/>
        <w:rPr>
          <w:rFonts w:ascii="Arial"/>
          <w:b/>
          <w:sz w:val="22"/>
        </w:rPr>
      </w:pPr>
    </w:p>
    <w:p>
      <w:pPr>
        <w:pStyle w:val="Heading2"/>
        <w:spacing w:after="45"/>
      </w:pPr>
      <w:r>
        <w:t>Scalability Plan:</w:t>
      </w:r>
    </w:p>
    <w:tbl>
      <w:tblPr>
        <w:tblW w:w="0" w:type="auto"/>
        <w:jc w:val="left"/>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0"/>
        <w:gridCol w:w="2260"/>
        <w:gridCol w:w="2260"/>
        <w:gridCol w:w="5220"/>
      </w:tblGrid>
      <w:tr>
        <w:trPr>
          <w:trHeight w:val="599" w:hRule="atLeast"/>
        </w:trPr>
        <w:tc>
          <w:tcPr>
            <w:tcW w:w="580" w:type="dxa"/>
          </w:tcPr>
          <w:p>
            <w:pPr>
              <w:pStyle w:val="TableParagraph"/>
              <w:spacing w:before="117"/>
              <w:ind w:left="112"/>
              <w:rPr>
                <w:b/>
                <w:sz w:val="18"/>
              </w:rPr>
            </w:pPr>
            <w:r>
              <w:t>S.No</w:t>
            </w:r>
          </w:p>
        </w:tc>
        <w:tc>
          <w:tcPr>
            <w:tcW w:w="2260" w:type="dxa"/>
          </w:tcPr>
          <w:p>
            <w:pPr>
              <w:pStyle w:val="TableParagraph"/>
              <w:spacing w:before="117"/>
              <w:ind w:left="102"/>
              <w:rPr>
                <w:b/>
                <w:sz w:val="18"/>
              </w:rPr>
            </w:pPr>
            <w:r>
              <w:t>Scalability Aspect</w:t>
            </w:r>
          </w:p>
        </w:tc>
        <w:tc>
          <w:tcPr>
            <w:tcW w:w="2260" w:type="dxa"/>
          </w:tcPr>
          <w:p>
            <w:pPr>
              <w:pStyle w:val="TableParagraph"/>
              <w:spacing w:before="117"/>
              <w:ind w:left="107"/>
              <w:rPr>
                <w:b/>
                <w:sz w:val="18"/>
              </w:rPr>
            </w:pPr>
            <w:r>
              <w:t>Current State</w:t>
            </w:r>
          </w:p>
        </w:tc>
        <w:tc>
          <w:tcPr>
            <w:tcW w:w="5220" w:type="dxa"/>
          </w:tcPr>
          <w:p>
            <w:pPr>
              <w:pStyle w:val="TableParagraph"/>
              <w:spacing w:before="117"/>
              <w:ind w:left="113"/>
              <w:rPr>
                <w:b/>
                <w:sz w:val="18"/>
              </w:rPr>
            </w:pPr>
            <w:r>
              <w:t>Proposed Upgrade / Solution</w:t>
            </w:r>
          </w:p>
        </w:tc>
      </w:tr>
      <w:tr>
        <w:trPr>
          <w:trHeight w:val="620" w:hRule="atLeast"/>
        </w:trPr>
        <w:tc>
          <w:tcPr>
            <w:tcW w:w="580" w:type="dxa"/>
          </w:tcPr>
          <w:p>
            <w:pPr>
              <w:pStyle w:val="TableParagraph"/>
              <w:spacing w:before="127"/>
              <w:ind w:left="112"/>
              <w:rPr>
                <w:rFonts w:ascii="Arial MT"/>
                <w:sz w:val="18"/>
              </w:rPr>
            </w:pPr>
            <w:r>
              <w:t>1</w:t>
            </w:r>
          </w:p>
        </w:tc>
        <w:tc>
          <w:tcPr>
            <w:tcW w:w="2260" w:type="dxa"/>
          </w:tcPr>
          <w:p>
            <w:pPr>
              <w:pStyle w:val="TableParagraph"/>
              <w:spacing w:before="127"/>
              <w:ind w:left="102"/>
              <w:rPr>
                <w:rFonts w:ascii="Arial MT"/>
                <w:sz w:val="18"/>
              </w:rPr>
            </w:pPr>
            <w:r>
              <w:t>User Load</w:t>
            </w:r>
          </w:p>
        </w:tc>
        <w:tc>
          <w:tcPr>
            <w:tcW w:w="2260" w:type="dxa"/>
          </w:tcPr>
          <w:p>
            <w:pPr>
              <w:pStyle w:val="TableParagraph"/>
              <w:rPr>
                <w:rFonts w:ascii="Times New Roman"/>
                <w:sz w:val="18"/>
              </w:rPr>
            </w:pPr>
            <w:r>
              <w:t>Single demo user, one Cloud Run container</w:t>
            </w:r>
          </w:p>
        </w:tc>
        <w:tc>
          <w:tcPr>
            <w:tcW w:w="5220" w:type="dxa"/>
          </w:tcPr>
          <w:p>
            <w:pPr>
              <w:pStyle w:val="TableParagraph"/>
              <w:rPr>
                <w:rFonts w:ascii="Times New Roman"/>
                <w:sz w:val="18"/>
              </w:rPr>
            </w:pPr>
            <w:r>
              <w:t>Cloud Run autoscaling with a higher max-instances setting and a warm minimum instance</w:t>
            </w:r>
          </w:p>
        </w:tc>
      </w:tr>
      <w:tr>
        <w:trPr>
          <w:trHeight w:val="600" w:hRule="atLeast"/>
        </w:trPr>
        <w:tc>
          <w:tcPr>
            <w:tcW w:w="580" w:type="dxa"/>
          </w:tcPr>
          <w:p>
            <w:pPr>
              <w:pStyle w:val="TableParagraph"/>
              <w:spacing w:before="117"/>
              <w:ind w:left="112"/>
              <w:rPr>
                <w:rFonts w:ascii="Arial MT"/>
                <w:sz w:val="18"/>
              </w:rPr>
            </w:pPr>
            <w:r>
              <w:t>2</w:t>
            </w:r>
          </w:p>
        </w:tc>
        <w:tc>
          <w:tcPr>
            <w:tcW w:w="2260" w:type="dxa"/>
          </w:tcPr>
          <w:p>
            <w:pPr>
              <w:pStyle w:val="TableParagraph"/>
              <w:spacing w:before="117"/>
              <w:ind w:left="102"/>
              <w:rPr>
                <w:rFonts w:ascii="Arial MT"/>
                <w:sz w:val="18"/>
              </w:rPr>
            </w:pPr>
            <w:r>
              <w:t>Data Storage</w:t>
            </w:r>
          </w:p>
        </w:tc>
        <w:tc>
          <w:tcPr>
            <w:tcW w:w="2260" w:type="dxa"/>
          </w:tcPr>
          <w:p>
            <w:pPr>
              <w:pStyle w:val="TableParagraph"/>
              <w:rPr>
                <w:rFonts w:ascii="Times New Roman"/>
                <w:sz w:val="18"/>
              </w:rPr>
            </w:pPr>
            <w:r>
              <w:t>Basic application data storage</w:t>
            </w:r>
          </w:p>
        </w:tc>
        <w:tc>
          <w:tcPr>
            <w:tcW w:w="5220" w:type="dxa"/>
          </w:tcPr>
          <w:p>
            <w:pPr>
              <w:pStyle w:val="TableParagraph"/>
              <w:rPr>
                <w:rFonts w:ascii="Times New Roman"/>
                <w:sz w:val="18"/>
              </w:rPr>
            </w:pPr>
            <w:r>
              <w:t>Move to Cloud SQL or Firestore with secure per-user records and legal-resource data</w:t>
            </w:r>
          </w:p>
        </w:tc>
      </w:tr>
      <w:tr>
        <w:trPr>
          <w:trHeight w:val="619" w:hRule="atLeast"/>
        </w:trPr>
        <w:tc>
          <w:tcPr>
            <w:tcW w:w="580" w:type="dxa"/>
          </w:tcPr>
          <w:p>
            <w:pPr>
              <w:pStyle w:val="TableParagraph"/>
              <w:spacing w:before="127"/>
              <w:ind w:left="112"/>
              <w:rPr>
                <w:rFonts w:ascii="Arial MT"/>
                <w:sz w:val="18"/>
              </w:rPr>
            </w:pPr>
            <w:r>
              <w:t>3</w:t>
            </w:r>
          </w:p>
        </w:tc>
        <w:tc>
          <w:tcPr>
            <w:tcW w:w="2260" w:type="dxa"/>
          </w:tcPr>
          <w:p>
            <w:pPr>
              <w:pStyle w:val="TableParagraph"/>
              <w:spacing w:before="127"/>
              <w:ind w:left="102"/>
              <w:rPr>
                <w:rFonts w:ascii="Arial MT"/>
                <w:sz w:val="18"/>
              </w:rPr>
            </w:pPr>
            <w:r>
              <w:t>Performance</w:t>
            </w:r>
          </w:p>
        </w:tc>
        <w:tc>
          <w:tcPr>
            <w:tcW w:w="2260" w:type="dxa"/>
          </w:tcPr>
          <w:p>
            <w:pPr>
              <w:pStyle w:val="TableParagraph"/>
              <w:rPr>
                <w:rFonts w:ascii="Times New Roman"/>
                <w:sz w:val="18"/>
              </w:rPr>
            </w:pPr>
            <w:r>
              <w:t>Models load once per container; Gemini replies cached</w:t>
            </w:r>
          </w:p>
        </w:tc>
        <w:tc>
          <w:tcPr>
            <w:tcW w:w="5220" w:type="dxa"/>
          </w:tcPr>
          <w:p>
            <w:pPr>
              <w:pStyle w:val="TableParagraph"/>
              <w:rPr>
                <w:rFonts w:ascii="Times New Roman"/>
                <w:sz w:val="18"/>
              </w:rPr>
            </w:pPr>
            <w:r>
              <w:t>Shared cache (Redis or Firestore), batch classification, scheduled retraining</w:t>
            </w:r>
          </w:p>
        </w:tc>
      </w:tr>
      <w:tr>
        <w:trPr>
          <w:trHeight w:val="600" w:hRule="atLeast"/>
        </w:trPr>
        <w:tc>
          <w:tcPr>
            <w:tcW w:w="580" w:type="dxa"/>
          </w:tcPr>
          <w:p>
            <w:pPr>
              <w:pStyle w:val="TableParagraph"/>
              <w:spacing w:before="117"/>
              <w:ind w:left="112"/>
              <w:rPr>
                <w:rFonts w:ascii="Arial MT"/>
                <w:sz w:val="18"/>
              </w:rPr>
            </w:pPr>
            <w:r>
              <w:t>4</w:t>
            </w:r>
          </w:p>
        </w:tc>
        <w:tc>
          <w:tcPr>
            <w:tcW w:w="2260" w:type="dxa"/>
          </w:tcPr>
          <w:p>
            <w:pPr>
              <w:pStyle w:val="TableParagraph"/>
              <w:spacing w:before="117"/>
              <w:ind w:left="102"/>
              <w:rPr>
                <w:rFonts w:ascii="Arial MT"/>
                <w:sz w:val="18"/>
              </w:rPr>
            </w:pPr>
            <w:r>
              <w:t>Security</w:t>
            </w:r>
          </w:p>
        </w:tc>
        <w:tc>
          <w:tcPr>
            <w:tcW w:w="2260" w:type="dxa"/>
          </w:tcPr>
          <w:p>
            <w:pPr>
              <w:pStyle w:val="TableParagraph"/>
              <w:rPr>
                <w:rFonts w:ascii="Times New Roman"/>
                <w:sz w:val="18"/>
              </w:rPr>
            </w:pPr>
            <w:r>
              <w:t>API key in env var, no user login</w:t>
            </w:r>
          </w:p>
        </w:tc>
        <w:tc>
          <w:tcPr>
            <w:tcW w:w="5220" w:type="dxa"/>
          </w:tcPr>
          <w:p>
            <w:pPr>
              <w:pStyle w:val="TableParagraph"/>
              <w:rPr>
                <w:rFonts w:ascii="Times New Roman"/>
                <w:sz w:val="18"/>
              </w:rPr>
            </w:pPr>
            <w:r>
              <w:t>User authentication, per-user access control, encrypted storage and DPDP-aligned consent</w:t>
            </w:r>
          </w:p>
        </w:tc>
      </w:tr>
    </w:tbl>
    <w:p>
      <w:pPr>
        <w:pStyle w:val="BodyText"/>
        <w:spacing w:before="236"/>
        <w:rPr>
          <w:rFonts w:ascii="Arial"/>
          <w:b/>
          <w:sz w:val="22"/>
        </w:rPr>
      </w:pPr>
    </w:p>
    <w:p>
      <w:pPr>
        <w:pStyle w:val="Heading2"/>
        <w:spacing w:after="40"/>
      </w:pPr>
      <w:r>
        <w:t>Future Roadmap:</w:t>
      </w:r>
    </w:p>
    <w:tbl>
      <w:tblPr>
        <w:tblW w:w="0" w:type="auto"/>
        <w:jc w:val="left"/>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0"/>
        <w:gridCol w:w="3400"/>
        <w:gridCol w:w="1980"/>
        <w:gridCol w:w="3520"/>
      </w:tblGrid>
      <w:tr>
        <w:trPr>
          <w:trHeight w:val="600" w:hRule="atLeast"/>
        </w:trPr>
        <w:tc>
          <w:tcPr>
            <w:tcW w:w="1420" w:type="dxa"/>
          </w:tcPr>
          <w:p>
            <w:pPr>
              <w:pStyle w:val="TableParagraph"/>
              <w:spacing w:before="122"/>
              <w:ind w:left="112"/>
              <w:rPr>
                <w:b/>
                <w:sz w:val="18"/>
              </w:rPr>
            </w:pPr>
            <w:r>
              <w:t>Phase</w:t>
            </w:r>
          </w:p>
        </w:tc>
        <w:tc>
          <w:tcPr>
            <w:tcW w:w="3400" w:type="dxa"/>
          </w:tcPr>
          <w:p>
            <w:pPr>
              <w:pStyle w:val="TableParagraph"/>
              <w:spacing w:before="122"/>
              <w:ind w:left="117"/>
              <w:rPr>
                <w:b/>
                <w:sz w:val="18"/>
              </w:rPr>
            </w:pPr>
            <w:r>
              <w:t>Planned Feature / Enhancement</w:t>
            </w:r>
          </w:p>
        </w:tc>
        <w:tc>
          <w:tcPr>
            <w:tcW w:w="1980" w:type="dxa"/>
          </w:tcPr>
          <w:p>
            <w:pPr>
              <w:pStyle w:val="TableParagraph"/>
              <w:spacing w:before="122"/>
              <w:ind w:left="123"/>
              <w:rPr>
                <w:b/>
                <w:sz w:val="18"/>
              </w:rPr>
            </w:pPr>
            <w:r>
              <w:t>Target Timeline</w:t>
            </w:r>
          </w:p>
        </w:tc>
        <w:tc>
          <w:tcPr>
            <w:tcW w:w="3520" w:type="dxa"/>
          </w:tcPr>
          <w:p>
            <w:pPr>
              <w:pStyle w:val="TableParagraph"/>
              <w:spacing w:before="122"/>
              <w:ind w:left="123"/>
              <w:rPr>
                <w:b/>
                <w:sz w:val="18"/>
              </w:rPr>
            </w:pPr>
            <w:r>
              <w:t>Expected Impact</w:t>
            </w:r>
          </w:p>
        </w:tc>
      </w:tr>
    </w:tbl>
    <w:p>
      <w:pPr>
        <w:pStyle w:val="TableParagraph"/>
        <w:spacing w:after="0"/>
        <w:rPr>
          <w:b/>
          <w:sz w:val="18"/>
        </w:rPr>
        <w:sectPr>
          <w:type w:val="continuous"/>
          <w:pgSz w:w="11920" w:h="16840"/>
          <w:pgMar w:top="980" w:bottom="1289" w:left="708" w:right="708"/>
        </w:sectPr>
      </w:pPr>
    </w:p>
    <w:tbl>
      <w:tblPr>
        <w:tblW w:w="0" w:type="auto"/>
        <w:jc w:val="left"/>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0"/>
        <w:gridCol w:w="3400"/>
        <w:gridCol w:w="1980"/>
        <w:gridCol w:w="3520"/>
      </w:tblGrid>
      <w:tr>
        <w:trPr>
          <w:trHeight w:val="620" w:hRule="atLeast"/>
        </w:trPr>
        <w:tc>
          <w:tcPr>
            <w:tcW w:w="1420" w:type="dxa"/>
          </w:tcPr>
          <w:p>
            <w:pPr>
              <w:pStyle w:val="TableParagraph"/>
              <w:spacing w:before="128"/>
              <w:ind w:left="112"/>
              <w:rPr>
                <w:rFonts w:ascii="Arial MT"/>
                <w:sz w:val="18"/>
              </w:rPr>
            </w:pPr>
            <w:r>
              <w:t>Phase 2</w:t>
            </w:r>
          </w:p>
        </w:tc>
        <w:tc>
          <w:tcPr>
            <w:tcW w:w="3400" w:type="dxa"/>
          </w:tcPr>
          <w:p>
            <w:pPr>
              <w:pStyle w:val="TableParagraph"/>
              <w:rPr>
                <w:rFonts w:ascii="Times New Roman"/>
                <w:sz w:val="18"/>
              </w:rPr>
            </w:pPr>
            <w:r>
              <w:t>Import real bank or UPI statements (CSV/PDF) and validate on real labelled data</w:t>
            </w:r>
          </w:p>
        </w:tc>
        <w:tc>
          <w:tcPr>
            <w:tcW w:w="1980" w:type="dxa"/>
          </w:tcPr>
          <w:p>
            <w:pPr>
              <w:pStyle w:val="TableParagraph"/>
              <w:rPr>
                <w:rFonts w:ascii="Times New Roman"/>
                <w:sz w:val="18"/>
              </w:rPr>
            </w:pPr>
            <w:r>
              <w:t>Next 1 to 2 months</w:t>
            </w:r>
          </w:p>
        </w:tc>
        <w:tc>
          <w:tcPr>
            <w:tcW w:w="3520" w:type="dxa"/>
          </w:tcPr>
          <w:p>
            <w:pPr>
              <w:pStyle w:val="TableParagraph"/>
              <w:rPr>
                <w:rFonts w:ascii="Times New Roman"/>
                <w:sz w:val="18"/>
              </w:rPr>
            </w:pPr>
            <w:r>
              <w:t>Improves reliability and validation on real legal use cases</w:t>
            </w:r>
          </w:p>
        </w:tc>
      </w:tr>
      <w:tr>
        <w:trPr>
          <w:trHeight w:val="600" w:hRule="atLeast"/>
        </w:trPr>
        <w:tc>
          <w:tcPr>
            <w:tcW w:w="1420" w:type="dxa"/>
          </w:tcPr>
          <w:p>
            <w:pPr>
              <w:pStyle w:val="TableParagraph"/>
              <w:spacing w:before="118"/>
              <w:ind w:left="112"/>
              <w:rPr>
                <w:rFonts w:ascii="Arial MT"/>
                <w:sz w:val="18"/>
              </w:rPr>
            </w:pPr>
            <w:r>
              <w:t>Phase 3</w:t>
            </w:r>
          </w:p>
        </w:tc>
        <w:tc>
          <w:tcPr>
            <w:tcW w:w="3400" w:type="dxa"/>
          </w:tcPr>
          <w:p>
            <w:pPr>
              <w:pStyle w:val="TableParagraph"/>
              <w:rPr>
                <w:rFonts w:ascii="Times New Roman"/>
                <w:sz w:val="18"/>
              </w:rPr>
            </w:pPr>
            <w:r>
              <w:t>User accounts, database, personalised budgets and savings goals</w:t>
            </w:r>
          </w:p>
        </w:tc>
        <w:tc>
          <w:tcPr>
            <w:tcW w:w="1980" w:type="dxa"/>
          </w:tcPr>
          <w:p>
            <w:pPr>
              <w:pStyle w:val="TableParagraph"/>
              <w:rPr>
                <w:rFonts w:ascii="Times New Roman"/>
                <w:sz w:val="18"/>
              </w:rPr>
            </w:pPr>
            <w:r>
              <w:t>3 to 5 months</w:t>
            </w:r>
          </w:p>
        </w:tc>
        <w:tc>
          <w:tcPr>
            <w:tcW w:w="3520" w:type="dxa"/>
          </w:tcPr>
          <w:p>
            <w:pPr>
              <w:pStyle w:val="TableParagraph"/>
              <w:rPr>
                <w:rFonts w:ascii="Times New Roman"/>
                <w:sz w:val="18"/>
              </w:rPr>
            </w:pPr>
            <w:r>
              <w:t>Turns the demo into a more usable legal-assistance product</w:t>
            </w:r>
          </w:p>
        </w:tc>
      </w:tr>
      <w:tr>
        <w:trPr>
          <w:trHeight w:val="619" w:hRule="atLeast"/>
        </w:trPr>
        <w:tc>
          <w:tcPr>
            <w:tcW w:w="1420" w:type="dxa"/>
          </w:tcPr>
          <w:p>
            <w:pPr>
              <w:pStyle w:val="TableParagraph"/>
              <w:spacing w:before="128"/>
              <w:ind w:left="112"/>
              <w:rPr>
                <w:rFonts w:ascii="Arial MT"/>
                <w:sz w:val="18"/>
              </w:rPr>
            </w:pPr>
            <w:r>
              <w:t>Phase 4</w:t>
            </w:r>
          </w:p>
        </w:tc>
        <w:tc>
          <w:tcPr>
            <w:tcW w:w="3400" w:type="dxa"/>
          </w:tcPr>
          <w:p>
            <w:pPr>
              <w:pStyle w:val="TableParagraph"/>
              <w:rPr>
                <w:rFonts w:ascii="Times New Roman"/>
                <w:sz w:val="18"/>
              </w:rPr>
            </w:pPr>
            <w:r>
              <w:t>Mobile app and multilingual advice (Tamil, Hindi, English)</w:t>
            </w:r>
          </w:p>
        </w:tc>
        <w:tc>
          <w:tcPr>
            <w:tcW w:w="1980" w:type="dxa"/>
          </w:tcPr>
          <w:p>
            <w:pPr>
              <w:pStyle w:val="TableParagraph"/>
              <w:rPr>
                <w:rFonts w:ascii="Times New Roman"/>
                <w:sz w:val="18"/>
              </w:rPr>
            </w:pPr>
            <w:r>
              <w:t>6 to 9 months</w:t>
            </w:r>
          </w:p>
        </w:tc>
        <w:tc>
          <w:tcPr>
            <w:tcW w:w="3520" w:type="dxa"/>
          </w:tcPr>
          <w:p>
            <w:pPr>
              <w:pStyle w:val="TableParagraph"/>
              <w:rPr>
                <w:rFonts w:ascii="Times New Roman"/>
                <w:sz w:val="18"/>
              </w:rPr>
            </w:pPr>
            <w:r>
              <w:t>Makes LegalEase accessible to more users in India</w:t>
            </w:r>
          </w:p>
        </w:tc>
      </w:tr>
    </w:tbl>
    <w:sectPr>
      <w:type w:val="continuous"/>
      <w:pgSz w:w="11920" w:h="16840"/>
      <w:pgMar w:top="94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229"/>
      <w:ind w:right="12"/>
      <w:jc w:val="center"/>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54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terms:created xsi:type="dcterms:W3CDTF">2026-09-30T04:55:15Z</dcterms:created>
  <dcterms:modified xsi:type="dcterms:W3CDTF">2026-09-30T04:55:15Z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