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6739B7"/>
          <w:sz w:val="72"/>
        </w:rPr>
        <w:t>PhonePe Pulse</w:t>
      </w:r>
    </w:p>
    <w:p>
      <w:pPr>
        <w:jc w:val="center"/>
      </w:pPr>
      <w:r>
        <w:rPr>
          <w:rFonts w:ascii="Arial" w:hAnsi="Arial"/>
          <w:b/>
          <w:color w:val="008BC8"/>
          <w:sz w:val="44"/>
        </w:rPr>
        <w:t>Transaction Insights Dashboard</w:t>
      </w:r>
    </w:p>
    <w:p>
      <w:pPr>
        <w:pBdr>
          <w:bottom w:val="single" w:sz="4" w:space="1" w:color="CCCCCC"/>
        </w:pBdr>
      </w:pPr>
    </w:p>
    <w:p>
      <w:pPr>
        <w:jc w:val="center"/>
      </w:pPr>
      <w:r>
        <w:rPr>
          <w:rFonts w:ascii="Arial" w:hAnsi="Arial"/>
          <w:color w:val="6B5FA0"/>
          <w:sz w:val="32"/>
        </w:rPr>
        <w:t>Project Documentation Report</w:t>
      </w:r>
    </w:p>
    <w:p/>
    <w:p>
      <w:pPr>
        <w:jc w:val="center"/>
      </w:pPr>
    </w:p>
    <w:p>
      <w:pPr>
        <w:jc w:val="center"/>
      </w:pPr>
      <w:r>
        <w:rPr>
          <w:rFonts w:ascii="Arial" w:hAnsi="Arial"/>
          <w:b/>
          <w:color w:val="6739B7"/>
          <w:sz w:val="22"/>
        </w:rPr>
        <w:t xml:space="preserve">Domain:  </w:t>
      </w:r>
      <w:r>
        <w:rPr>
          <w:rFonts w:ascii="Arial" w:hAnsi="Arial"/>
          <w:color w:val="000000"/>
          <w:sz w:val="22"/>
        </w:rPr>
        <w:t>Finance / Digital Payment Systems</w:t>
      </w:r>
    </w:p>
    <w:p>
      <w:pPr>
        <w:jc w:val="center"/>
      </w:pPr>
      <w:r>
        <w:rPr>
          <w:rFonts w:ascii="Arial" w:hAnsi="Arial"/>
          <w:b/>
          <w:color w:val="6739B7"/>
          <w:sz w:val="22"/>
        </w:rPr>
        <w:t xml:space="preserve">Tools:  </w:t>
      </w:r>
      <w:r>
        <w:rPr>
          <w:rFonts w:ascii="Arial" w:hAnsi="Arial"/>
          <w:color w:val="000000"/>
          <w:sz w:val="22"/>
        </w:rPr>
        <w:t>Python  |  MySQL  |  Streamlit  |  Plotly</w:t>
      </w:r>
    </w:p>
    <w:p>
      <w:pPr>
        <w:jc w:val="center"/>
      </w:pPr>
      <w:r>
        <w:rPr>
          <w:rFonts w:ascii="Arial" w:hAnsi="Arial"/>
          <w:b/>
          <w:color w:val="6739B7"/>
          <w:sz w:val="22"/>
        </w:rPr>
        <w:t xml:space="preserve">Data Source:  </w:t>
      </w:r>
      <w:r>
        <w:rPr>
          <w:rFonts w:ascii="Arial" w:hAnsi="Arial"/>
          <w:color w:val="000000"/>
          <w:sz w:val="22"/>
        </w:rPr>
        <w:t>PhonePe Pulse GitHub Repository</w:t>
      </w:r>
    </w:p>
    <w:p>
      <w:pPr>
        <w:jc w:val="center"/>
      </w:pPr>
      <w:r>
        <w:rPr>
          <w:rFonts w:ascii="Arial" w:hAnsi="Arial"/>
          <w:b/>
          <w:color w:val="6739B7"/>
          <w:sz w:val="22"/>
        </w:rPr>
        <w:t xml:space="preserve">Prepared:  </w:t>
      </w:r>
      <w:r>
        <w:rPr>
          <w:rFonts w:ascii="Arial" w:hAnsi="Arial"/>
          <w:color w:val="000000"/>
          <w:sz w:val="22"/>
        </w:rPr>
        <w:t>March 2026</w:t>
      </w:r>
    </w:p>
    <w:p>
      <w:r>
        <w:br w:type="page"/>
      </w:r>
    </w:p>
    <w:p>
      <w:pPr>
        <w:spacing w:before="360" w:after="120"/>
        <w:pBdr>
          <w:bottom w:val="single" w:sz="12" w:space="4" w:color="6739B7"/>
        </w:pBdr>
      </w:pPr>
      <w:r>
        <w:rPr>
          <w:rFonts w:ascii="Arial" w:hAnsi="Arial"/>
          <w:b/>
          <w:color w:val="6739B7"/>
          <w:sz w:val="36"/>
        </w:rPr>
        <w:t>Table of Contents</w:t>
      </w:r>
    </w:p>
    <w:p>
      <w:pPr>
        <w:spacing w:after="60"/>
      </w:pPr>
      <w:r>
        <w:rPr>
          <w:rFonts w:ascii="Arial" w:hAnsi="Arial"/>
          <w:b/>
          <w:color w:val="6739B7"/>
          <w:sz w:val="22"/>
        </w:rPr>
        <w:t xml:space="preserve">1.  </w:t>
      </w:r>
      <w:r>
        <w:rPr>
          <w:rFonts w:ascii="Arial" w:hAnsi="Arial"/>
          <w:color w:val="000000"/>
          <w:sz w:val="22"/>
        </w:rPr>
        <w:t>Project Overview</w:t>
      </w:r>
    </w:p>
    <w:p>
      <w:pPr>
        <w:spacing w:after="60"/>
      </w:pPr>
      <w:r>
        <w:rPr>
          <w:rFonts w:ascii="Arial" w:hAnsi="Arial"/>
          <w:b/>
          <w:color w:val="6739B7"/>
          <w:sz w:val="22"/>
        </w:rPr>
        <w:t xml:space="preserve">2.  </w:t>
      </w:r>
      <w:r>
        <w:rPr>
          <w:rFonts w:ascii="Arial" w:hAnsi="Arial"/>
          <w:color w:val="000000"/>
          <w:sz w:val="22"/>
        </w:rPr>
        <w:t>Data Architecture &amp; Database Schema</w:t>
      </w:r>
    </w:p>
    <w:p>
      <w:pPr>
        <w:spacing w:after="60"/>
      </w:pPr>
      <w:r>
        <w:rPr>
          <w:rFonts w:ascii="Arial" w:hAnsi="Arial"/>
          <w:b/>
          <w:color w:val="6739B7"/>
          <w:sz w:val="22"/>
        </w:rPr>
        <w:t xml:space="preserve">3.  </w:t>
      </w:r>
      <w:r>
        <w:rPr>
          <w:rFonts w:ascii="Arial" w:hAnsi="Arial"/>
          <w:color w:val="000000"/>
          <w:sz w:val="22"/>
        </w:rPr>
        <w:t>Analysis Process</w:t>
      </w:r>
    </w:p>
    <w:p>
      <w:pPr>
        <w:spacing w:after="60"/>
      </w:pPr>
      <w:r>
        <w:rPr>
          <w:rFonts w:ascii="Arial" w:hAnsi="Arial"/>
          <w:b/>
          <w:color w:val="6739B7"/>
          <w:sz w:val="22"/>
        </w:rPr>
        <w:t xml:space="preserve">4.  </w:t>
      </w:r>
      <w:r>
        <w:rPr>
          <w:rFonts w:ascii="Arial" w:hAnsi="Arial"/>
          <w:color w:val="000000"/>
          <w:sz w:val="22"/>
        </w:rPr>
        <w:t>Business Case Study 1 — Decoding Transaction Dynamics</w:t>
      </w:r>
    </w:p>
    <w:p>
      <w:pPr>
        <w:spacing w:after="60"/>
      </w:pPr>
      <w:r>
        <w:rPr>
          <w:rFonts w:ascii="Arial" w:hAnsi="Arial"/>
          <w:b/>
          <w:color w:val="6739B7"/>
          <w:sz w:val="22"/>
        </w:rPr>
        <w:t xml:space="preserve">5.  </w:t>
      </w:r>
      <w:r>
        <w:rPr>
          <w:rFonts w:ascii="Arial" w:hAnsi="Arial"/>
          <w:color w:val="000000"/>
          <w:sz w:val="22"/>
        </w:rPr>
        <w:t>Business Case Study 2 — Device Dominance &amp; User Engagement</w:t>
      </w:r>
    </w:p>
    <w:p>
      <w:pPr>
        <w:spacing w:after="60"/>
      </w:pPr>
      <w:r>
        <w:rPr>
          <w:rFonts w:ascii="Arial" w:hAnsi="Arial"/>
          <w:b/>
          <w:color w:val="6739B7"/>
          <w:sz w:val="22"/>
        </w:rPr>
        <w:t xml:space="preserve">6.  </w:t>
      </w:r>
      <w:r>
        <w:rPr>
          <w:rFonts w:ascii="Arial" w:hAnsi="Arial"/>
          <w:color w:val="000000"/>
          <w:sz w:val="22"/>
        </w:rPr>
        <w:t>Business Case Study 3 — Insurance Penetration &amp; Growth</w:t>
      </w:r>
    </w:p>
    <w:p>
      <w:pPr>
        <w:spacing w:after="60"/>
      </w:pPr>
      <w:r>
        <w:rPr>
          <w:rFonts w:ascii="Arial" w:hAnsi="Arial"/>
          <w:b/>
          <w:color w:val="6739B7"/>
          <w:sz w:val="22"/>
        </w:rPr>
        <w:t xml:space="preserve">7.  </w:t>
      </w:r>
      <w:r>
        <w:rPr>
          <w:rFonts w:ascii="Arial" w:hAnsi="Arial"/>
          <w:color w:val="000000"/>
          <w:sz w:val="22"/>
        </w:rPr>
        <w:t>Business Case Study 4 — Transaction Analysis for Market Expansion</w:t>
      </w:r>
    </w:p>
    <w:p>
      <w:pPr>
        <w:spacing w:after="60"/>
      </w:pPr>
      <w:r>
        <w:rPr>
          <w:rFonts w:ascii="Arial" w:hAnsi="Arial"/>
          <w:b/>
          <w:color w:val="6739B7"/>
          <w:sz w:val="22"/>
        </w:rPr>
        <w:t xml:space="preserve">8.  </w:t>
      </w:r>
      <w:r>
        <w:rPr>
          <w:rFonts w:ascii="Arial" w:hAnsi="Arial"/>
          <w:color w:val="000000"/>
          <w:sz w:val="22"/>
        </w:rPr>
        <w:t>Business Case Study 5 — User Engagement &amp; Growth Strategy</w:t>
      </w:r>
    </w:p>
    <w:p>
      <w:pPr>
        <w:spacing w:after="60"/>
      </w:pPr>
      <w:r>
        <w:rPr>
          <w:rFonts w:ascii="Arial" w:hAnsi="Arial"/>
          <w:b/>
          <w:color w:val="6739B7"/>
          <w:sz w:val="22"/>
        </w:rPr>
        <w:t xml:space="preserve">9.  </w:t>
      </w:r>
      <w:r>
        <w:rPr>
          <w:rFonts w:ascii="Arial" w:hAnsi="Arial"/>
          <w:color w:val="000000"/>
          <w:sz w:val="22"/>
        </w:rPr>
        <w:t>Key Insights &amp; Findings</w:t>
      </w:r>
    </w:p>
    <w:p>
      <w:pPr>
        <w:spacing w:after="60"/>
      </w:pPr>
      <w:r>
        <w:rPr>
          <w:rFonts w:ascii="Arial" w:hAnsi="Arial"/>
          <w:b/>
          <w:color w:val="6739B7"/>
          <w:sz w:val="22"/>
        </w:rPr>
        <w:t xml:space="preserve">10.  </w:t>
      </w:r>
      <w:r>
        <w:rPr>
          <w:rFonts w:ascii="Arial" w:hAnsi="Arial"/>
          <w:color w:val="000000"/>
          <w:sz w:val="22"/>
        </w:rPr>
        <w:t>Visualizations &amp; Dashboard</w:t>
      </w:r>
    </w:p>
    <w:p>
      <w:pPr>
        <w:spacing w:after="60"/>
      </w:pPr>
      <w:r>
        <w:rPr>
          <w:rFonts w:ascii="Arial" w:hAnsi="Arial"/>
          <w:b/>
          <w:color w:val="6739B7"/>
          <w:sz w:val="22"/>
        </w:rPr>
        <w:t xml:space="preserve">11.  </w:t>
      </w:r>
      <w:r>
        <w:rPr>
          <w:rFonts w:ascii="Arial" w:hAnsi="Arial"/>
          <w:color w:val="000000"/>
          <w:sz w:val="22"/>
        </w:rPr>
        <w:t>SQL Query Reference</w:t>
      </w:r>
    </w:p>
    <w:p>
      <w:pPr>
        <w:spacing w:after="60"/>
      </w:pPr>
      <w:r>
        <w:rPr>
          <w:rFonts w:ascii="Arial" w:hAnsi="Arial"/>
          <w:b/>
          <w:color w:val="6739B7"/>
          <w:sz w:val="22"/>
        </w:rPr>
        <w:t xml:space="preserve">12.  </w:t>
      </w:r>
      <w:r>
        <w:rPr>
          <w:rFonts w:ascii="Arial" w:hAnsi="Arial"/>
          <w:color w:val="000000"/>
          <w:sz w:val="22"/>
        </w:rPr>
        <w:t>Conclusions &amp; Recommendations</w:t>
      </w:r>
    </w:p>
    <w:p>
      <w:r>
        <w:br w:type="page"/>
      </w:r>
    </w:p>
    <w:p>
      <w:pPr>
        <w:spacing w:before="360" w:after="120"/>
        <w:pBdr>
          <w:bottom w:val="single" w:sz="12" w:space="4" w:color="6739B7"/>
        </w:pBdr>
      </w:pPr>
      <w:r>
        <w:rPr>
          <w:rFonts w:ascii="Arial" w:hAnsi="Arial"/>
          <w:b/>
          <w:color w:val="6739B7"/>
          <w:sz w:val="36"/>
        </w:rPr>
        <w:t>1. Project Overview</w:t>
      </w:r>
    </w:p>
    <w:p>
      <w:pPr>
        <w:spacing w:after="80"/>
      </w:pPr>
      <w:r>
        <w:rPr>
          <w:rFonts w:ascii="Arial" w:hAnsi="Arial"/>
          <w:i w:val="0"/>
          <w:color w:val="000000"/>
          <w:sz w:val="22"/>
        </w:rPr>
        <w:t>PhonePe Pulse is a comprehensive data analytics project built on top of the PhonePe Pulse open dataset — one of the largest digital payment datasets available publicly in India. The project extracts, transforms, and loads transaction data from JSON files into a MySQL database, then analyses it through SQL queries and presents findings via an interactive Streamlit dashboard.</w:t>
      </w:r>
    </w:p>
    <w:p/>
    <w:p>
      <w:pPr>
        <w:spacing w:before="240" w:after="80"/>
      </w:pPr>
      <w:r>
        <w:rPr>
          <w:rFonts w:ascii="Arial" w:hAnsi="Arial"/>
          <w:b/>
          <w:color w:val="008BC8"/>
          <w:sz w:val="28"/>
        </w:rPr>
        <w:t>1.1  Objectives</w:t>
      </w:r>
    </w:p>
    <w:p>
      <w:pPr>
        <w:pStyle w:val="ListBullet"/>
        <w:spacing w:after="40"/>
        <w:ind w:left="432"/>
      </w:pPr>
      <w:r>
        <w:rPr>
          <w:rFonts w:ascii="Arial" w:hAnsi="Arial"/>
          <w:color w:val="000000"/>
          <w:sz w:val="22"/>
        </w:rPr>
        <w:t>Extract and load PhonePe Pulse JSON data into a relational MySQL database.</w:t>
      </w:r>
    </w:p>
    <w:p>
      <w:pPr>
        <w:pStyle w:val="ListBullet"/>
        <w:spacing w:after="40"/>
        <w:ind w:left="432"/>
      </w:pPr>
      <w:r>
        <w:rPr>
          <w:rFonts w:ascii="Arial" w:hAnsi="Arial"/>
          <w:color w:val="000000"/>
          <w:sz w:val="22"/>
        </w:rPr>
        <w:t>Perform structured SQL analysis across 9 database tables.</w:t>
      </w:r>
    </w:p>
    <w:p>
      <w:pPr>
        <w:pStyle w:val="ListBullet"/>
        <w:spacing w:after="40"/>
        <w:ind w:left="432"/>
      </w:pPr>
      <w:r>
        <w:rPr>
          <w:rFonts w:ascii="Arial" w:hAnsi="Arial"/>
          <w:color w:val="000000"/>
          <w:sz w:val="22"/>
        </w:rPr>
        <w:t>Conduct 5 targeted business case studies covering transactions, users, insurance, market expansion, and growth strategy.</w:t>
      </w:r>
    </w:p>
    <w:p>
      <w:pPr>
        <w:pStyle w:val="ListBullet"/>
        <w:spacing w:after="40"/>
        <w:ind w:left="432"/>
      </w:pPr>
      <w:r>
        <w:rPr>
          <w:rFonts w:ascii="Arial" w:hAnsi="Arial"/>
          <w:color w:val="000000"/>
          <w:sz w:val="22"/>
        </w:rPr>
        <w:t>Create rich visualisations using Python (Pandas, Matplotlib, Seaborn, Plotly).</w:t>
      </w:r>
    </w:p>
    <w:p>
      <w:pPr>
        <w:pStyle w:val="ListBullet"/>
        <w:spacing w:after="40"/>
        <w:ind w:left="432"/>
      </w:pPr>
      <w:r>
        <w:rPr>
          <w:rFonts w:ascii="Arial" w:hAnsi="Arial"/>
          <w:color w:val="000000"/>
          <w:sz w:val="22"/>
        </w:rPr>
        <w:t>Build an interactive Streamlit dashboard with real-time filtering by Year, Quarter, and State.</w:t>
      </w:r>
    </w:p>
    <w:p/>
    <w:p>
      <w:pPr>
        <w:spacing w:before="240" w:after="80"/>
      </w:pPr>
      <w:r>
        <w:rPr>
          <w:rFonts w:ascii="Arial" w:hAnsi="Arial"/>
          <w:b/>
          <w:color w:val="008BC8"/>
          <w:sz w:val="28"/>
        </w:rPr>
        <w:t>1.2  Technology Stack</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Component</w:t>
            </w:r>
          </w:p>
        </w:tc>
        <w:tc>
          <w:tcPr>
            <w:tcW w:type="dxa" w:w="25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Technology</w:t>
            </w:r>
          </w:p>
        </w:tc>
        <w:tc>
          <w:tcPr>
            <w:tcW w:type="dxa" w:w="403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Purpose</w:t>
            </w:r>
          </w:p>
        </w:tc>
      </w:tr>
      <w:tr>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Data Storage</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MySQL 8.0</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Relational database for all 9 tables</w:t>
            </w:r>
          </w:p>
        </w:tc>
      </w:tr>
      <w:tr>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Data Extraction</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Python + JSON</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Parse PhonePe Pulse JSON files</w:t>
            </w:r>
          </w:p>
        </w:tc>
      </w:tr>
      <w:tr>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ORM / Connection</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SQLAlchemy + PyMySQL</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Python-MySQL bridge</w:t>
            </w:r>
          </w:p>
        </w:tc>
      </w:tr>
      <w:tr>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Analysis</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Pandas</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DataFrame manipulation &amp; aggregation</w:t>
            </w:r>
          </w:p>
        </w:tc>
      </w:tr>
      <w:tr>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Static Charts</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Matplotlib + Seaborn</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21 business case visualisations</w:t>
            </w:r>
          </w:p>
        </w:tc>
      </w:tr>
      <w:tr>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Interactive Charts</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Plotly Express</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Dashboard charts &amp; India map</w:t>
            </w:r>
          </w:p>
        </w:tc>
      </w:tr>
      <w:tr>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Dashboard</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Streamlit</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Interactive web application</w:t>
            </w:r>
          </w:p>
        </w:tc>
      </w:tr>
      <w:tr>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Map</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GeoJSON + Plotly</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India choropleth state map</w:t>
            </w:r>
          </w:p>
        </w:tc>
      </w:tr>
      <w:tr>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Source Data</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PhonePe Pulse GitHub</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Public transaction dataset</w:t>
            </w:r>
          </w:p>
        </w:tc>
      </w:tr>
    </w:tbl>
    <w:p/>
    <w:p>
      <w:r>
        <w:br w:type="page"/>
      </w:r>
    </w:p>
    <w:p>
      <w:pPr>
        <w:spacing w:before="360" w:after="120"/>
        <w:pBdr>
          <w:bottom w:val="single" w:sz="12" w:space="4" w:color="6739B7"/>
        </w:pBdr>
      </w:pPr>
      <w:r>
        <w:rPr>
          <w:rFonts w:ascii="Arial" w:hAnsi="Arial"/>
          <w:b/>
          <w:color w:val="6739B7"/>
          <w:sz w:val="36"/>
        </w:rPr>
        <w:t>2. Data Architecture &amp; Database Schema</w:t>
      </w:r>
    </w:p>
    <w:p>
      <w:pPr>
        <w:spacing w:after="80"/>
      </w:pPr>
      <w:r>
        <w:rPr>
          <w:rFonts w:ascii="Arial" w:hAnsi="Arial"/>
          <w:i w:val="0"/>
          <w:color w:val="000000"/>
          <w:sz w:val="22"/>
        </w:rPr>
        <w:t>The PhonePe Pulse dataset is organised into three categories — Aggregated, Map, and Top — each containing transaction, user, and insurance sub-categories. Nine MySQL tables were created to store this data.</w:t>
      </w:r>
    </w:p>
    <w:p/>
    <w:p>
      <w:pPr>
        <w:spacing w:before="240" w:after="80"/>
      </w:pPr>
      <w:r>
        <w:rPr>
          <w:rFonts w:ascii="Arial" w:hAnsi="Arial"/>
          <w:b/>
          <w:color w:val="008BC8"/>
          <w:sz w:val="28"/>
        </w:rPr>
        <w:t>2.1  Folder Structure (Source Data)</w:t>
      </w:r>
    </w:p>
    <w:p>
      <w:pPr>
        <w:spacing w:after="80"/>
      </w:pPr>
      <w:r>
        <w:rPr>
          <w:rFonts w:ascii="Arial" w:hAnsi="Arial"/>
          <w:i w:val="0"/>
          <w:color w:val="000000"/>
          <w:sz w:val="22"/>
        </w:rPr>
        <w:t>C:\Users\Palani\Desktop\Meenakshi\PhonePay\pulse\data\</w:t>
      </w:r>
    </w:p>
    <w:p>
      <w:pPr>
        <w:pStyle w:val="ListBullet"/>
        <w:spacing w:after="40"/>
        <w:ind w:left="792"/>
      </w:pPr>
      <w:r>
        <w:rPr>
          <w:rFonts w:ascii="Arial" w:hAnsi="Arial"/>
          <w:color w:val="000000"/>
          <w:sz w:val="22"/>
        </w:rPr>
        <w:t>aggregated/transaction/country/india/state/&lt;state&gt;/&lt;year&gt;/&lt;quarter&gt;.json</w:t>
      </w:r>
    </w:p>
    <w:p>
      <w:pPr>
        <w:pStyle w:val="ListBullet"/>
        <w:spacing w:after="40"/>
        <w:ind w:left="792"/>
      </w:pPr>
      <w:r>
        <w:rPr>
          <w:rFonts w:ascii="Arial" w:hAnsi="Arial"/>
          <w:color w:val="000000"/>
          <w:sz w:val="22"/>
        </w:rPr>
        <w:t>aggregated/user/country/india/state/&lt;state&gt;/&lt;year&gt;/&lt;quarter&gt;.json</w:t>
      </w:r>
    </w:p>
    <w:p>
      <w:pPr>
        <w:pStyle w:val="ListBullet"/>
        <w:spacing w:after="40"/>
        <w:ind w:left="792"/>
      </w:pPr>
      <w:r>
        <w:rPr>
          <w:rFonts w:ascii="Arial" w:hAnsi="Arial"/>
          <w:color w:val="000000"/>
          <w:sz w:val="22"/>
        </w:rPr>
        <w:t>aggregated/insurance/country/india/state/&lt;state&gt;/&lt;year&gt;/&lt;quarter&gt;.json</w:t>
      </w:r>
    </w:p>
    <w:p>
      <w:pPr>
        <w:pStyle w:val="ListBullet"/>
        <w:spacing w:after="40"/>
        <w:ind w:left="792"/>
      </w:pPr>
      <w:r>
        <w:rPr>
          <w:rFonts w:ascii="Arial" w:hAnsi="Arial"/>
          <w:color w:val="000000"/>
          <w:sz w:val="22"/>
        </w:rPr>
        <w:t>map/transaction/hover/country/india/state/&lt;state&gt;/&lt;year&gt;/&lt;quarter&gt;.json</w:t>
      </w:r>
    </w:p>
    <w:p>
      <w:pPr>
        <w:pStyle w:val="ListBullet"/>
        <w:spacing w:after="40"/>
        <w:ind w:left="792"/>
      </w:pPr>
      <w:r>
        <w:rPr>
          <w:rFonts w:ascii="Arial" w:hAnsi="Arial"/>
          <w:color w:val="000000"/>
          <w:sz w:val="22"/>
        </w:rPr>
        <w:t>map/user/hover/country/india/state/&lt;state&gt;/&lt;year&gt;/&lt;quarter&gt;.json</w:t>
      </w:r>
    </w:p>
    <w:p>
      <w:pPr>
        <w:pStyle w:val="ListBullet"/>
        <w:spacing w:after="40"/>
        <w:ind w:left="792"/>
      </w:pPr>
      <w:r>
        <w:rPr>
          <w:rFonts w:ascii="Arial" w:hAnsi="Arial"/>
          <w:color w:val="000000"/>
          <w:sz w:val="22"/>
        </w:rPr>
        <w:t>map/insurance/hover/country/india/state/&lt;state&gt;/&lt;year&gt;/&lt;quarter&gt;.json</w:t>
      </w:r>
    </w:p>
    <w:p>
      <w:pPr>
        <w:pStyle w:val="ListBullet"/>
        <w:spacing w:after="40"/>
        <w:ind w:left="792"/>
      </w:pPr>
      <w:r>
        <w:rPr>
          <w:rFonts w:ascii="Arial" w:hAnsi="Arial"/>
          <w:color w:val="000000"/>
          <w:sz w:val="22"/>
        </w:rPr>
        <w:t>top/transaction/country/india/state/&lt;state&gt;/&lt;year&gt;/&lt;quarter&gt;.json</w:t>
      </w:r>
    </w:p>
    <w:p>
      <w:pPr>
        <w:pStyle w:val="ListBullet"/>
        <w:spacing w:after="40"/>
        <w:ind w:left="792"/>
      </w:pPr>
      <w:r>
        <w:rPr>
          <w:rFonts w:ascii="Arial" w:hAnsi="Arial"/>
          <w:color w:val="000000"/>
          <w:sz w:val="22"/>
        </w:rPr>
        <w:t>top/user/country/india/state/&lt;state&gt;/&lt;year&gt;/&lt;quarter&gt;.json</w:t>
      </w:r>
    </w:p>
    <w:p>
      <w:pPr>
        <w:pStyle w:val="ListBullet"/>
        <w:spacing w:after="40"/>
        <w:ind w:left="792"/>
      </w:pPr>
      <w:r>
        <w:rPr>
          <w:rFonts w:ascii="Arial" w:hAnsi="Arial"/>
          <w:color w:val="000000"/>
          <w:sz w:val="22"/>
        </w:rPr>
        <w:t>top/insurance/country/india/state/&lt;state&gt;/&lt;year&gt;/&lt;quarter&gt;.json</w:t>
      </w:r>
    </w:p>
    <w:p/>
    <w:p>
      <w:pPr>
        <w:spacing w:before="240" w:after="80"/>
      </w:pPr>
      <w:r>
        <w:rPr>
          <w:rFonts w:ascii="Arial" w:hAnsi="Arial"/>
          <w:b/>
          <w:color w:val="008BC8"/>
          <w:sz w:val="28"/>
        </w:rPr>
        <w:t>2.2  Database Tables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Table Name</w:t>
            </w:r>
          </w:p>
        </w:tc>
        <w:tc>
          <w:tcPr>
            <w:tcW w:type="dxa" w:w="115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Rows</w:t>
            </w:r>
          </w:p>
        </w:tc>
        <w:tc>
          <w:tcPr>
            <w:tcW w:type="dxa" w:w="576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Key Columns</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aggregated_transaction</w:t>
            </w:r>
          </w:p>
        </w:tc>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5,034</w:t>
            </w:r>
          </w:p>
        </w:tc>
        <w:tc>
          <w:tcPr>
            <w:tcW w:type="dxa" w:w="57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Transacion_type, Transacion_count, Transacion_amount</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aggregated_user</w:t>
            </w:r>
          </w:p>
        </w:tc>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7,128</w:t>
            </w:r>
          </w:p>
        </w:tc>
        <w:tc>
          <w:tcPr>
            <w:tcW w:type="dxa" w:w="57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Brands, Count, Percentage, Registered_user, App_opens</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aggregated_insurance</w:t>
            </w:r>
          </w:p>
        </w:tc>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682</w:t>
            </w:r>
          </w:p>
        </w:tc>
        <w:tc>
          <w:tcPr>
            <w:tcW w:type="dxa" w:w="57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Transacion_type, Transacion_count, Transacion_amount</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map_transaction</w:t>
            </w:r>
          </w:p>
        </w:tc>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20,604</w:t>
            </w:r>
          </w:p>
        </w:tc>
        <w:tc>
          <w:tcPr>
            <w:tcW w:type="dxa" w:w="57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District, Count, Amount</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map_user</w:t>
            </w:r>
          </w:p>
        </w:tc>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20,608</w:t>
            </w:r>
          </w:p>
        </w:tc>
        <w:tc>
          <w:tcPr>
            <w:tcW w:type="dxa" w:w="57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District, Registered_user, App_opens</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map_insurance</w:t>
            </w:r>
          </w:p>
        </w:tc>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13,876</w:t>
            </w:r>
          </w:p>
        </w:tc>
        <w:tc>
          <w:tcPr>
            <w:tcW w:type="dxa" w:w="57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District, Count, Amount</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top_transaction</w:t>
            </w:r>
          </w:p>
        </w:tc>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18,295</w:t>
            </w:r>
          </w:p>
        </w:tc>
        <w:tc>
          <w:tcPr>
            <w:tcW w:type="dxa" w:w="57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EntityType, EntityName, Count, Amount</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top_user</w:t>
            </w:r>
          </w:p>
        </w:tc>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18,296</w:t>
            </w:r>
          </w:p>
        </w:tc>
        <w:tc>
          <w:tcPr>
            <w:tcW w:type="dxa" w:w="57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EntityType, EntityName, Registered_user</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top_insurance</w:t>
            </w:r>
          </w:p>
        </w:tc>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12,276</w:t>
            </w:r>
          </w:p>
        </w:tc>
        <w:tc>
          <w:tcPr>
            <w:tcW w:type="dxa" w:w="57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Year, Quater, EntityType, EntityName, Count, Amount</w:t>
            </w:r>
          </w:p>
        </w:tc>
      </w:tr>
    </w:tbl>
    <w:p/>
    <w:tbl>
      <w:tblPr>
        <w:tblStyle w:val="TableGrid"/>
        <w:tblW w:type="auto" w:w="0"/>
        <w:tblLook w:firstColumn="1" w:firstRow="1" w:lastColumn="0" w:lastRow="0" w:noHBand="0" w:noVBand="1" w:val="04A0"/>
      </w:tblPr>
      <w:tblGrid>
        <w:gridCol w:w="8784"/>
      </w:tblGrid>
      <w:tr>
        <w:tc>
          <w:tcPr>
            <w:tcW w:type="dxa" w:w="8784"/>
            <w:shd w:val="clear" w:color="auto" w:fill="F0EBFF"/>
            <w:tcBorders>
              <w:top w:val="single" w:sz="6" w:space="0" w:color="6739B7"/>
              <w:bottom w:val="single" w:sz="6" w:space="0" w:color="6739B7"/>
              <w:left w:val="single" w:sz="6" w:space="0" w:color="6739B7"/>
              <w:right w:val="single" w:sz="6" w:space="0" w:color="6739B7"/>
            </w:tcBorders>
          </w:tcPr>
          <w:p>
            <w:r>
              <w:rPr>
                <w:rFonts w:ascii="Arial" w:hAnsi="Arial"/>
                <w:b/>
                <w:color w:val="6739B7"/>
                <w:sz w:val="22"/>
              </w:rPr>
              <w:t xml:space="preserve">  Column Naming Note</w:t>
            </w:r>
          </w:p>
          <w:p>
            <w:pPr>
              <w:spacing w:after="40"/>
            </w:pPr>
            <w:r>
              <w:rPr>
                <w:rFonts w:ascii="Arial" w:hAnsi="Arial"/>
                <w:color w:val="000000"/>
                <w:sz w:val="20"/>
              </w:rPr>
              <w:t xml:space="preserve">  All column names follow the exact Colab reference standards.</w:t>
            </w:r>
          </w:p>
          <w:p>
            <w:pPr>
              <w:spacing w:after="40"/>
            </w:pPr>
            <w:r>
              <w:rPr>
                <w:rFonts w:ascii="Arial" w:hAnsi="Arial"/>
                <w:color w:val="000000"/>
                <w:sz w:val="20"/>
              </w:rPr>
              <w:t xml:space="preserve">  Note the intentional spelling: "Transacion_type", "Quater" (as in the source data).</w:t>
            </w:r>
          </w:p>
          <w:p>
            <w:pPr>
              <w:spacing w:after="40"/>
            </w:pPr>
            <w:r>
              <w:rPr>
                <w:rFonts w:ascii="Arial" w:hAnsi="Arial"/>
                <w:color w:val="000000"/>
                <w:sz w:val="20"/>
              </w:rPr>
              <w:t xml:space="preserve">  These match the PhonePe Pulse reference notebook exactly.</w:t>
            </w:r>
          </w:p>
        </w:tc>
      </w:tr>
    </w:tbl>
    <w:p/>
    <w:p>
      <w:r>
        <w:br w:type="page"/>
      </w:r>
    </w:p>
    <w:p>
      <w:pPr>
        <w:spacing w:before="360" w:after="120"/>
        <w:pBdr>
          <w:bottom w:val="single" w:sz="12" w:space="4" w:color="6739B7"/>
        </w:pBdr>
      </w:pPr>
      <w:r>
        <w:rPr>
          <w:rFonts w:ascii="Arial" w:hAnsi="Arial"/>
          <w:b/>
          <w:color w:val="6739B7"/>
          <w:sz w:val="36"/>
        </w:rPr>
        <w:t>3. Analysis Process</w:t>
      </w:r>
    </w:p>
    <w:p>
      <w:pPr>
        <w:spacing w:before="240" w:after="80"/>
      </w:pPr>
      <w:r>
        <w:rPr>
          <w:rFonts w:ascii="Arial" w:hAnsi="Arial"/>
          <w:b/>
          <w:color w:val="008BC8"/>
          <w:sz w:val="28"/>
        </w:rPr>
        <w:t>3.1  Data Extraction Pipeline</w:t>
      </w:r>
    </w:p>
    <w:p>
      <w:pPr>
        <w:spacing w:after="80"/>
      </w:pPr>
      <w:r>
        <w:rPr>
          <w:rFonts w:ascii="Arial" w:hAnsi="Arial"/>
          <w:i w:val="0"/>
          <w:color w:val="000000"/>
          <w:sz w:val="22"/>
        </w:rPr>
        <w:t>The extraction script (data_extraction.py) follows the Colab reference coding standards precisely — using nested loops over state → year → quarter directories, opening each JSON file, parsing the relevant fields, and appending to a dictionary before converting to a Pandas DataFrame and writing to MySQL.</w:t>
      </w:r>
    </w:p>
    <w:p/>
    <w:p>
      <w:pPr>
        <w:spacing w:after="80"/>
      </w:pPr>
      <w:r>
        <w:rPr>
          <w:rFonts w:ascii="Arial" w:hAnsi="Arial"/>
          <w:i w:val="0"/>
          <w:color w:val="000000"/>
          <w:sz w:val="22"/>
        </w:rPr>
        <w:t>Loop structure used (matching Colab exactly):</w:t>
      </w:r>
    </w:p>
    <w:p>
      <w:pPr>
        <w:spacing w:after="20"/>
        <w:ind w:left="576"/>
      </w:pPr>
      <w:r>
        <w:rPr>
          <w:rFonts w:ascii="Courier New" w:hAnsi="Courier New"/>
          <w:color w:val="6B21A8"/>
          <w:sz w:val="18"/>
        </w:rPr>
        <w:t>for i in Agg_state_list:   # i = state slug (e.g. "tamil-nadu")</w:t>
      </w:r>
    </w:p>
    <w:p>
      <w:pPr>
        <w:spacing w:after="20"/>
        <w:ind w:left="576"/>
      </w:pPr>
      <w:r>
        <w:rPr>
          <w:rFonts w:ascii="Courier New" w:hAnsi="Courier New"/>
          <w:color w:val="6B21A8"/>
          <w:sz w:val="18"/>
        </w:rPr>
        <w:t xml:space="preserve">    for j in Agg_yr:       # j = year directory (e.g. "2023")</w:t>
      </w:r>
    </w:p>
    <w:p>
      <w:pPr>
        <w:spacing w:after="20"/>
        <w:ind w:left="576"/>
      </w:pPr>
      <w:r>
        <w:rPr>
          <w:rFonts w:ascii="Courier New" w:hAnsi="Courier New"/>
          <w:color w:val="6B21A8"/>
          <w:sz w:val="18"/>
        </w:rPr>
        <w:t xml:space="preserve">        for k in Agg_yr_list:  # k = quarter file (e.g. "1.json")</w:t>
      </w:r>
    </w:p>
    <w:p>
      <w:pPr>
        <w:spacing w:after="20"/>
        <w:ind w:left="576"/>
      </w:pPr>
      <w:r>
        <w:rPr>
          <w:rFonts w:ascii="Courier New" w:hAnsi="Courier New"/>
          <w:color w:val="6B21A8"/>
          <w:sz w:val="18"/>
        </w:rPr>
        <w:t xml:space="preserve">            D = json.load(open(p_k))</w:t>
      </w:r>
    </w:p>
    <w:p>
      <w:pPr>
        <w:spacing w:after="20"/>
        <w:ind w:left="576"/>
      </w:pPr>
      <w:r>
        <w:rPr>
          <w:rFonts w:ascii="Courier New" w:hAnsi="Courier New"/>
          <w:color w:val="6B21A8"/>
          <w:sz w:val="18"/>
        </w:rPr>
        <w:t xml:space="preserve">            # Extract fields and append to clm dict</w:t>
      </w:r>
    </w:p>
    <w:p>
      <w:pPr>
        <w:spacing w:after="20"/>
        <w:ind w:left="576"/>
      </w:pPr>
      <w:r>
        <w:rPr>
          <w:rFonts w:ascii="Courier New" w:hAnsi="Courier New"/>
          <w:color w:val="6B21A8"/>
          <w:sz w:val="18"/>
        </w:rPr>
        <w:t>Agg_Trans = pd.DataFrame(clm)</w:t>
      </w:r>
    </w:p>
    <w:p>
      <w:pPr>
        <w:spacing w:after="20"/>
        <w:ind w:left="576"/>
      </w:pPr>
      <w:r>
        <w:rPr>
          <w:rFonts w:ascii="Courier New" w:hAnsi="Courier New"/>
          <w:color w:val="6B21A8"/>
          <w:sz w:val="18"/>
        </w:rPr>
        <w:t>Agg_Trans.to_sql("aggregated_transaction", engine, if_exists="replace")</w:t>
      </w:r>
    </w:p>
    <w:p/>
    <w:p>
      <w:pPr>
        <w:spacing w:before="240" w:after="80"/>
      </w:pPr>
      <w:r>
        <w:rPr>
          <w:rFonts w:ascii="Arial" w:hAnsi="Arial"/>
          <w:b/>
          <w:color w:val="008BC8"/>
          <w:sz w:val="28"/>
        </w:rPr>
        <w:t>3.2  SQL Analysis</w:t>
      </w:r>
    </w:p>
    <w:p>
      <w:pPr>
        <w:spacing w:after="80"/>
      </w:pPr>
      <w:r>
        <w:rPr>
          <w:rFonts w:ascii="Arial" w:hAnsi="Arial"/>
          <w:i w:val="0"/>
          <w:color w:val="000000"/>
          <w:sz w:val="22"/>
        </w:rPr>
        <w:t>Once all 9 tables were loaded, structured SQL queries were written in MySQL Workbench to answer specific business questions. Key SQL techniques used include:</w:t>
      </w:r>
    </w:p>
    <w:p>
      <w:pPr>
        <w:pStyle w:val="ListBullet"/>
        <w:spacing w:after="40"/>
        <w:ind w:left="432"/>
      </w:pPr>
      <w:r>
        <w:rPr>
          <w:rFonts w:ascii="Arial" w:hAnsi="Arial"/>
          <w:color w:val="000000"/>
          <w:sz w:val="22"/>
        </w:rPr>
        <w:t>Window functions: RANK(), LAG(), SUM() OVER() for rankings and growth calculations</w:t>
      </w:r>
    </w:p>
    <w:p>
      <w:pPr>
        <w:pStyle w:val="ListBullet"/>
        <w:spacing w:after="40"/>
        <w:ind w:left="432"/>
      </w:pPr>
      <w:r>
        <w:rPr>
          <w:rFonts w:ascii="Arial" w:hAnsi="Arial"/>
          <w:color w:val="000000"/>
          <w:sz w:val="22"/>
        </w:rPr>
        <w:t>Common Table Expressions (CTEs): Year-over-year growth comparisons</w:t>
      </w:r>
    </w:p>
    <w:p>
      <w:pPr>
        <w:pStyle w:val="ListBullet"/>
        <w:spacing w:after="40"/>
        <w:ind w:left="432"/>
      </w:pPr>
      <w:r>
        <w:rPr>
          <w:rFonts w:ascii="Arial" w:hAnsi="Arial"/>
          <w:color w:val="000000"/>
          <w:sz w:val="22"/>
        </w:rPr>
        <w:t>Correlated subqueries: Finding most popular payment type per state</w:t>
      </w:r>
    </w:p>
    <w:p>
      <w:pPr>
        <w:pStyle w:val="ListBullet"/>
        <w:spacing w:after="40"/>
        <w:ind w:left="432"/>
      </w:pPr>
      <w:r>
        <w:rPr>
          <w:rFonts w:ascii="Arial" w:hAnsi="Arial"/>
          <w:color w:val="000000"/>
          <w:sz w:val="22"/>
        </w:rPr>
        <w:t>Multi-table JOINs: Insurance penetration vs total transactions</w:t>
      </w:r>
    </w:p>
    <w:p>
      <w:pPr>
        <w:pStyle w:val="ListBullet"/>
        <w:spacing w:after="40"/>
        <w:ind w:left="432"/>
      </w:pPr>
      <w:r>
        <w:rPr>
          <w:rFonts w:ascii="Arial" w:hAnsi="Arial"/>
          <w:color w:val="000000"/>
          <w:sz w:val="22"/>
        </w:rPr>
        <w:t>HAVING clauses: Filtering states below national average engagement</w:t>
      </w:r>
    </w:p>
    <w:p>
      <w:pPr>
        <w:pStyle w:val="ListBullet"/>
        <w:spacing w:after="40"/>
        <w:ind w:left="432"/>
      </w:pPr>
      <w:r>
        <w:rPr>
          <w:rFonts w:ascii="Arial" w:hAnsi="Arial"/>
          <w:color w:val="000000"/>
          <w:sz w:val="22"/>
        </w:rPr>
        <w:t>CASE statements: Categorising engagement levels (High / Medium / Low)</w:t>
      </w:r>
    </w:p>
    <w:p/>
    <w:p>
      <w:pPr>
        <w:spacing w:before="240" w:after="80"/>
      </w:pPr>
      <w:r>
        <w:rPr>
          <w:rFonts w:ascii="Arial" w:hAnsi="Arial"/>
          <w:b/>
          <w:color w:val="008BC8"/>
          <w:sz w:val="28"/>
        </w:rPr>
        <w:t>3.3  Python Visualisation Pipeline</w:t>
      </w:r>
    </w:p>
    <w:p>
      <w:pPr>
        <w:spacing w:after="80"/>
      </w:pPr>
      <w:r>
        <w:rPr>
          <w:rFonts w:ascii="Arial" w:hAnsi="Arial"/>
          <w:i w:val="0"/>
          <w:color w:val="000000"/>
          <w:sz w:val="22"/>
        </w:rPr>
        <w:t>The analysis.py and business_case_visualizations.py scripts query MySQL directly using Pandas read_sql(), process the results, and generate 21 publication-quality charts saved as PNG files. The scripts follow a consistent dark PhonePe theme.</w:t>
      </w:r>
    </w:p>
    <w:tbl>
      <w:tblPr>
        <w:tblStyle w:val="TableGrid"/>
        <w:tblW w:type="auto" w:w="0"/>
        <w:tblLook w:firstColumn="1" w:firstRow="1" w:lastColumn="0" w:lastRow="0" w:noHBand="0" w:noVBand="1" w:val="04A0"/>
      </w:tblPr>
      <w:tblGrid>
        <w:gridCol w:w="2928"/>
        <w:gridCol w:w="2928"/>
        <w:gridCol w:w="2928"/>
      </w:tblGrid>
      <w:tr>
        <w:tc>
          <w:tcPr>
            <w:tcW w:type="dxa" w:w="432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Script</w:t>
            </w:r>
          </w:p>
        </w:tc>
        <w:tc>
          <w:tcPr>
            <w:tcW w:type="dxa" w:w="172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Charts</w:t>
            </w:r>
          </w:p>
        </w:tc>
        <w:tc>
          <w:tcPr>
            <w:tcW w:type="dxa" w:w="360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Libraries Used</w:t>
            </w:r>
          </w:p>
        </w:tc>
      </w:tr>
      <w:tr>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analysis.py</w:t>
            </w:r>
          </w:p>
        </w:tc>
        <w:tc>
          <w:tcPr>
            <w:tcW w:type="dxa" w:w="172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12 charts</w:t>
            </w:r>
          </w:p>
        </w:tc>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Matplotlib, Seaborn, Pandas</w:t>
            </w:r>
          </w:p>
        </w:tc>
      </w:tr>
      <w:tr>
        <w:tc>
          <w:tcPr>
            <w:tcW w:type="dxa" w:w="432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business_case_visualizations.py</w:t>
            </w:r>
          </w:p>
        </w:tc>
        <w:tc>
          <w:tcPr>
            <w:tcW w:type="dxa" w:w="172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21 charts</w:t>
            </w:r>
          </w:p>
        </w:tc>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Matplotlib, Seaborn, Plotly, Pandas</w:t>
            </w:r>
          </w:p>
        </w:tc>
      </w:tr>
    </w:tbl>
    <w:p/>
    <w:p>
      <w:r>
        <w:br w:type="page"/>
      </w:r>
    </w:p>
    <w:p>
      <w:pPr>
        <w:spacing w:before="360" w:after="120"/>
        <w:pBdr>
          <w:bottom w:val="single" w:sz="12" w:space="4" w:color="6739B7"/>
        </w:pBdr>
      </w:pPr>
      <w:r>
        <w:rPr>
          <w:rFonts w:ascii="Arial" w:hAnsi="Arial"/>
          <w:b/>
          <w:color w:val="6739B7"/>
          <w:sz w:val="36"/>
        </w:rPr>
        <w:t>4. Business Case Study 1 — Decoding Transaction Dynamics on PhonePe</w:t>
      </w:r>
    </w:p>
    <w:p>
      <w:pPr>
        <w:spacing w:before="240" w:after="80"/>
      </w:pPr>
      <w:r>
        <w:rPr>
          <w:rFonts w:ascii="Arial" w:hAnsi="Arial"/>
          <w:b/>
          <w:color w:val="008BC8"/>
          <w:sz w:val="28"/>
        </w:rPr>
        <w:t>Scenario</w:t>
      </w:r>
    </w:p>
    <w:p>
      <w:pPr>
        <w:spacing w:after="80"/>
      </w:pPr>
      <w:r>
        <w:rPr>
          <w:rFonts w:ascii="Arial" w:hAnsi="Arial"/>
          <w:i w:val="0"/>
          <w:color w:val="000000"/>
          <w:sz w:val="22"/>
        </w:rPr>
        <w:t>PhonePe identified significant variation in transaction behaviour across states, quarters, and payment categories. The leadership team needed deeper understanding of these patterns to drive targeted business strategies.</w:t>
      </w:r>
    </w:p>
    <w:p/>
    <w:p>
      <w:pPr>
        <w:spacing w:before="240" w:after="80"/>
      </w:pPr>
      <w:r>
        <w:rPr>
          <w:rFonts w:ascii="Arial" w:hAnsi="Arial"/>
          <w:b/>
          <w:color w:val="008BC8"/>
          <w:sz w:val="28"/>
        </w:rPr>
        <w:t>Objectives</w:t>
      </w:r>
    </w:p>
    <w:p>
      <w:pPr>
        <w:pStyle w:val="ListBullet"/>
        <w:spacing w:after="40"/>
        <w:ind w:left="432"/>
      </w:pPr>
      <w:r>
        <w:rPr>
          <w:rFonts w:ascii="Arial" w:hAnsi="Arial"/>
          <w:color w:val="000000"/>
          <w:sz w:val="22"/>
        </w:rPr>
        <w:t>Understand total transaction volume and value trends over time.</w:t>
      </w:r>
    </w:p>
    <w:p>
      <w:pPr>
        <w:pStyle w:val="ListBullet"/>
        <w:spacing w:after="40"/>
        <w:ind w:left="432"/>
      </w:pPr>
      <w:r>
        <w:rPr>
          <w:rFonts w:ascii="Arial" w:hAnsi="Arial"/>
          <w:color w:val="000000"/>
          <w:sz w:val="22"/>
        </w:rPr>
        <w:t>Identify the most and least popular payment categories by count and amount.</w:t>
      </w:r>
    </w:p>
    <w:p>
      <w:pPr>
        <w:pStyle w:val="ListBullet"/>
        <w:spacing w:after="40"/>
        <w:ind w:left="432"/>
      </w:pPr>
      <w:r>
        <w:rPr>
          <w:rFonts w:ascii="Arial" w:hAnsi="Arial"/>
          <w:color w:val="000000"/>
          <w:sz w:val="22"/>
        </w:rPr>
        <w:t>Rank states by transaction performance and identify stagnating regions.</w:t>
      </w:r>
    </w:p>
    <w:p>
      <w:pPr>
        <w:pStyle w:val="ListBullet"/>
        <w:spacing w:after="40"/>
        <w:ind w:left="432"/>
      </w:pPr>
      <w:r>
        <w:rPr>
          <w:rFonts w:ascii="Arial" w:hAnsi="Arial"/>
          <w:color w:val="000000"/>
          <w:sz w:val="22"/>
        </w:rPr>
        <w:t>Analyse quarter-on-quarter and year-on-year growth rates.</w:t>
      </w:r>
    </w:p>
    <w:p>
      <w:pPr>
        <w:pStyle w:val="ListBullet"/>
        <w:spacing w:after="40"/>
        <w:ind w:left="432"/>
      </w:pPr>
      <w:r>
        <w:rPr>
          <w:rFonts w:ascii="Arial" w:hAnsi="Arial"/>
          <w:color w:val="000000"/>
          <w:sz w:val="22"/>
        </w:rPr>
        <w:t>Find the dominant payment type per state for targeted marketing.</w:t>
      </w:r>
    </w:p>
    <w:p/>
    <w:p>
      <w:pPr>
        <w:spacing w:before="240" w:after="80"/>
      </w:pPr>
      <w:r>
        <w:rPr>
          <w:rFonts w:ascii="Arial" w:hAnsi="Arial"/>
          <w:b/>
          <w:color w:val="008BC8"/>
          <w:sz w:val="28"/>
        </w:rPr>
        <w:t>SQL Queries</w:t>
      </w:r>
    </w:p>
    <w:tbl>
      <w:tblPr>
        <w:tblStyle w:val="TableGrid"/>
        <w:tblW w:type="auto" w:w="0"/>
        <w:tblLook w:firstColumn="1" w:firstRow="1" w:lastColumn="0" w:lastRow="0" w:noHBand="0" w:noVBand="1" w:val="04A0"/>
      </w:tblPr>
      <w:tblGrid>
        <w:gridCol w:w="4392"/>
        <w:gridCol w:w="4392"/>
      </w:tblGrid>
      <w:tr>
        <w:tc>
          <w:tcPr>
            <w:tcW w:type="dxa" w:w="316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Query</w:t>
            </w:r>
          </w:p>
        </w:tc>
        <w:tc>
          <w:tcPr>
            <w:tcW w:type="dxa" w:w="6336"/>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Overall Summary</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transactions, total amount, and average transaction value.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Year-wise Growth</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Annual totals with YoY growth % using LAG() window function.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Quarter-wise Trend</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breakdown of count and amount across all years.</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Category Breakdown</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Each payment type ranked by count and amount with share %.</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10 States by Amount</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ranked by total transaction amount.</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Bottom 10 States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with lowest adoption — target for growth.</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Peak Periods per State</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 quarter combinations ranked by amount using RANK().</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Dominant Type per State</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Most popular payment type per state via correlated subquery.</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Declining States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where YoY transaction amount dropped.</w:t>
            </w:r>
          </w:p>
        </w:tc>
      </w:tr>
    </w:tbl>
    <w:p/>
    <w:p>
      <w:pPr>
        <w:spacing w:before="240" w:after="80"/>
      </w:pPr>
      <w:r>
        <w:rPr>
          <w:rFonts w:ascii="Arial" w:hAnsi="Arial"/>
          <w:b/>
          <w:color w:val="008BC8"/>
          <w:sz w:val="28"/>
        </w:rPr>
        <w:t>Key Insights</w:t>
      </w:r>
    </w:p>
    <w:p>
      <w:pPr>
        <w:pStyle w:val="ListBullet"/>
        <w:spacing w:after="40"/>
        <w:ind w:left="432"/>
      </w:pPr>
      <w:r>
        <w:rPr>
          <w:rFonts w:ascii="Arial" w:hAnsi="Arial"/>
          <w:color w:val="000000"/>
          <w:sz w:val="22"/>
        </w:rPr>
        <w:t>Peer-to-peer payments consistently dominate transaction counts across all states and years.</w:t>
      </w:r>
    </w:p>
    <w:p>
      <w:pPr>
        <w:pStyle w:val="ListBullet"/>
        <w:spacing w:after="40"/>
        <w:ind w:left="432"/>
      </w:pPr>
      <w:r>
        <w:rPr>
          <w:rFonts w:ascii="Arial" w:hAnsi="Arial"/>
          <w:color w:val="000000"/>
          <w:sz w:val="22"/>
        </w:rPr>
        <w:t>Merchant payments lead in total transaction amount, reflecting high-value commerce.</w:t>
      </w:r>
    </w:p>
    <w:p>
      <w:pPr>
        <w:pStyle w:val="ListBullet"/>
        <w:spacing w:after="40"/>
        <w:ind w:left="432"/>
      </w:pPr>
      <w:r>
        <w:rPr>
          <w:rFonts w:ascii="Arial" w:hAnsi="Arial"/>
          <w:color w:val="000000"/>
          <w:sz w:val="22"/>
        </w:rPr>
        <w:t>Maharashtra, Karnataka, and Telangana account for over 40% of total transaction value.</w:t>
      </w:r>
    </w:p>
    <w:p>
      <w:pPr>
        <w:pStyle w:val="ListBullet"/>
        <w:spacing w:after="40"/>
        <w:ind w:left="432"/>
      </w:pPr>
      <w:r>
        <w:rPr>
          <w:rFonts w:ascii="Arial" w:hAnsi="Arial"/>
          <w:color w:val="000000"/>
          <w:sz w:val="22"/>
        </w:rPr>
        <w:t>North-eastern states show consistently low adoption — key opportunity for growth.</w:t>
      </w:r>
    </w:p>
    <w:p>
      <w:pPr>
        <w:pStyle w:val="ListBullet"/>
        <w:spacing w:after="40"/>
        <w:ind w:left="432"/>
      </w:pPr>
      <w:r>
        <w:rPr>
          <w:rFonts w:ascii="Arial" w:hAnsi="Arial"/>
          <w:color w:val="000000"/>
          <w:sz w:val="22"/>
        </w:rPr>
        <w:t>Q4 shows peak transaction volume across most years due to festive season spending.</w:t>
      </w:r>
    </w:p>
    <w:p>
      <w:pPr>
        <w:pStyle w:val="ListBullet"/>
        <w:spacing w:after="40"/>
        <w:ind w:left="432"/>
      </w:pPr>
      <w:r>
        <w:rPr>
          <w:rFonts w:ascii="Arial" w:hAnsi="Arial"/>
          <w:color w:val="000000"/>
          <w:sz w:val="22"/>
        </w:rPr>
        <w:t>States with high counts but low average values are ideal for premium product upselling.</w:t>
      </w:r>
    </w:p>
    <w:p/>
    <w:p>
      <w:pPr>
        <w:spacing w:before="240" w:after="80"/>
      </w:pPr>
      <w:r>
        <w:rPr>
          <w:rFonts w:ascii="Arial" w:hAnsi="Arial"/>
          <w:b/>
          <w:color w:val="008BC8"/>
          <w:sz w:val="28"/>
        </w:rPr>
        <w:t>Visualisations Generated</w:t>
      </w:r>
    </w:p>
    <w:p>
      <w:pPr>
        <w:pStyle w:val="ListBullet"/>
        <w:spacing w:after="40"/>
        <w:ind w:left="432"/>
      </w:pPr>
      <w:r>
        <w:rPr>
          <w:rFonts w:ascii="Arial" w:hAnsi="Arial"/>
          <w:color w:val="000000"/>
          <w:sz w:val="22"/>
        </w:rPr>
        <w:t>C1_F1: Payment Category Breakdown — Donut chart (count share) + Horizontal bar (amount)</w:t>
      </w:r>
    </w:p>
    <w:p>
      <w:pPr>
        <w:pStyle w:val="ListBullet"/>
        <w:spacing w:after="40"/>
        <w:ind w:left="432"/>
      </w:pPr>
      <w:r>
        <w:rPr>
          <w:rFonts w:ascii="Arial" w:hAnsi="Arial"/>
          <w:color w:val="000000"/>
          <w:sz w:val="22"/>
        </w:rPr>
        <w:t>C1_F2: Top 10 vs Bottom 10 States — Side-by-side horizontal bar charts</w:t>
      </w:r>
    </w:p>
    <w:p>
      <w:pPr>
        <w:pStyle w:val="ListBullet"/>
        <w:spacing w:after="40"/>
        <w:ind w:left="432"/>
      </w:pPr>
      <w:r>
        <w:rPr>
          <w:rFonts w:ascii="Arial" w:hAnsi="Arial"/>
          <w:color w:val="000000"/>
          <w:sz w:val="22"/>
        </w:rPr>
        <w:t>C1_F3: Quarterly Growth Trend — Dual line chart with area fill (count + amount)</w:t>
      </w:r>
    </w:p>
    <w:p>
      <w:pPr>
        <w:pStyle w:val="ListBullet"/>
        <w:spacing w:after="40"/>
        <w:ind w:left="432"/>
      </w:pPr>
      <w:r>
        <w:rPr>
          <w:rFonts w:ascii="Arial" w:hAnsi="Arial"/>
          <w:color w:val="000000"/>
          <w:sz w:val="22"/>
        </w:rPr>
        <w:t>C1_F4: Transaction Type Year-wise Trend — Grouped bar chart</w:t>
      </w:r>
    </w:p>
    <w:p>
      <w:r>
        <w:br w:type="page"/>
      </w:r>
    </w:p>
    <w:p>
      <w:pPr>
        <w:spacing w:before="360" w:after="120"/>
        <w:pBdr>
          <w:bottom w:val="single" w:sz="12" w:space="4" w:color="6739B7"/>
        </w:pBdr>
      </w:pPr>
      <w:r>
        <w:rPr>
          <w:rFonts w:ascii="Arial" w:hAnsi="Arial"/>
          <w:b/>
          <w:color w:val="6739B7"/>
          <w:sz w:val="36"/>
        </w:rPr>
        <w:t>5. Business Case Study 2 — Device Dominance &amp; User Engagement Analysis</w:t>
      </w:r>
    </w:p>
    <w:p>
      <w:pPr>
        <w:spacing w:before="240" w:after="80"/>
      </w:pPr>
      <w:r>
        <w:rPr>
          <w:rFonts w:ascii="Arial" w:hAnsi="Arial"/>
          <w:b/>
          <w:color w:val="008BC8"/>
          <w:sz w:val="28"/>
        </w:rPr>
        <w:t>Scenario</w:t>
      </w:r>
    </w:p>
    <w:p>
      <w:pPr>
        <w:spacing w:after="80"/>
      </w:pPr>
      <w:r>
        <w:rPr>
          <w:rFonts w:ascii="Arial" w:hAnsi="Arial"/>
          <w:i w:val="0"/>
          <w:color w:val="000000"/>
          <w:sz w:val="22"/>
        </w:rPr>
        <w:t>PhonePe aimed to enhance user engagement by understanding preferences across device brands. Trends in device usage vary significantly across regions, and some devices are disproportionately underutilised despite high registration numbers.</w:t>
      </w:r>
    </w:p>
    <w:p/>
    <w:p>
      <w:pPr>
        <w:spacing w:before="240" w:after="80"/>
      </w:pPr>
      <w:r>
        <w:rPr>
          <w:rFonts w:ascii="Arial" w:hAnsi="Arial"/>
          <w:b/>
          <w:color w:val="008BC8"/>
          <w:sz w:val="28"/>
        </w:rPr>
        <w:t>Objectives</w:t>
      </w:r>
    </w:p>
    <w:p>
      <w:pPr>
        <w:pStyle w:val="ListBullet"/>
        <w:spacing w:after="40"/>
        <w:ind w:left="432"/>
      </w:pPr>
      <w:r>
        <w:rPr>
          <w:rFonts w:ascii="Arial" w:hAnsi="Arial"/>
          <w:color w:val="000000"/>
          <w:sz w:val="22"/>
        </w:rPr>
        <w:t>Identify the top mobile brands used by PhonePe users.</w:t>
      </w:r>
    </w:p>
    <w:p>
      <w:pPr>
        <w:pStyle w:val="ListBullet"/>
        <w:spacing w:after="40"/>
        <w:ind w:left="432"/>
      </w:pPr>
      <w:r>
        <w:rPr>
          <w:rFonts w:ascii="Arial" w:hAnsi="Arial"/>
          <w:color w:val="000000"/>
          <w:sz w:val="22"/>
        </w:rPr>
        <w:t>Calculate engagement ratio (app opens / registered users) per state.</w:t>
      </w:r>
    </w:p>
    <w:p>
      <w:pPr>
        <w:pStyle w:val="ListBullet"/>
        <w:spacing w:after="40"/>
        <w:ind w:left="432"/>
      </w:pPr>
      <w:r>
        <w:rPr>
          <w:rFonts w:ascii="Arial" w:hAnsi="Arial"/>
          <w:color w:val="000000"/>
          <w:sz w:val="22"/>
        </w:rPr>
        <w:t>Detect states with high registrations but low app engagement.</w:t>
      </w:r>
    </w:p>
    <w:p>
      <w:pPr>
        <w:pStyle w:val="ListBullet"/>
        <w:spacing w:after="40"/>
        <w:ind w:left="432"/>
      </w:pPr>
      <w:r>
        <w:rPr>
          <w:rFonts w:ascii="Arial" w:hAnsi="Arial"/>
          <w:color w:val="000000"/>
          <w:sz w:val="22"/>
        </w:rPr>
        <w:t>Track brand market share evolution over years.</w:t>
      </w:r>
    </w:p>
    <w:p>
      <w:pPr>
        <w:pStyle w:val="ListBullet"/>
        <w:spacing w:after="40"/>
        <w:ind w:left="432"/>
      </w:pPr>
      <w:r>
        <w:rPr>
          <w:rFonts w:ascii="Arial" w:hAnsi="Arial"/>
          <w:color w:val="000000"/>
          <w:sz w:val="22"/>
        </w:rPr>
        <w:t>Compare registered users vs actual app usage at district level.</w:t>
      </w:r>
    </w:p>
    <w:p/>
    <w:p>
      <w:pPr>
        <w:spacing w:before="240" w:after="80"/>
      </w:pPr>
      <w:r>
        <w:rPr>
          <w:rFonts w:ascii="Arial" w:hAnsi="Arial"/>
          <w:b/>
          <w:color w:val="008BC8"/>
          <w:sz w:val="28"/>
        </w:rPr>
        <w:t>SQL Queries</w:t>
      </w:r>
    </w:p>
    <w:tbl>
      <w:tblPr>
        <w:tblStyle w:val="TableGrid"/>
        <w:tblW w:type="auto" w:w="0"/>
        <w:tblLook w:firstColumn="1" w:firstRow="1" w:lastColumn="0" w:lastRow="0" w:noHBand="0" w:noVBand="1" w:val="04A0"/>
      </w:tblPr>
      <w:tblGrid>
        <w:gridCol w:w="4392"/>
        <w:gridCol w:w="4392"/>
      </w:tblGrid>
      <w:tr>
        <w:tc>
          <w:tcPr>
            <w:tcW w:type="dxa" w:w="316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Query</w:t>
            </w:r>
          </w:p>
        </w:tc>
        <w:tc>
          <w:tcPr>
            <w:tcW w:type="dxa" w:w="6336"/>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Overall Users Summary</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registered users, app opens, and engagement ratio.</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10 Brands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Brand rankings by user count with market share %.</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10 States by Users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rankings with engagement ratio.</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Low Engagement States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below national average engagement using HAVING.</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Brand Dominance per State</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brand per state via RANK() window function.</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Year-wise User Growth</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Annual user registration totals.</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Quarter-wise Trend</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registered users and app opens.</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 by Users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District-level user rankings from map_user table.</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Brand Growth by Year</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YoY growth rate per brand using LAG() window function.</w:t>
            </w:r>
          </w:p>
        </w:tc>
      </w:tr>
    </w:tbl>
    <w:p/>
    <w:p>
      <w:pPr>
        <w:spacing w:before="240" w:after="80"/>
      </w:pPr>
      <w:r>
        <w:rPr>
          <w:rFonts w:ascii="Arial" w:hAnsi="Arial"/>
          <w:b/>
          <w:color w:val="008BC8"/>
          <w:sz w:val="28"/>
        </w:rPr>
        <w:t>Key Insights</w:t>
      </w:r>
    </w:p>
    <w:p>
      <w:pPr>
        <w:pStyle w:val="ListBullet"/>
        <w:spacing w:after="40"/>
        <w:ind w:left="432"/>
      </w:pPr>
      <w:r>
        <w:rPr>
          <w:rFonts w:ascii="Arial" w:hAnsi="Arial"/>
          <w:color w:val="000000"/>
          <w:sz w:val="22"/>
        </w:rPr>
        <w:t>Xiaomi leads overall market share followed by Samsung and Vivo across most states.</w:t>
      </w:r>
    </w:p>
    <w:p>
      <w:pPr>
        <w:pStyle w:val="ListBullet"/>
        <w:spacing w:after="40"/>
        <w:ind w:left="432"/>
      </w:pPr>
      <w:r>
        <w:rPr>
          <w:rFonts w:ascii="Arial" w:hAnsi="Arial"/>
          <w:color w:val="000000"/>
          <w:sz w:val="22"/>
        </w:rPr>
        <w:t>Brand data is available only up to 2022 — newer years show no device breakdown.</w:t>
      </w:r>
    </w:p>
    <w:p>
      <w:pPr>
        <w:pStyle w:val="ListBullet"/>
        <w:spacing w:after="40"/>
        <w:ind w:left="432"/>
      </w:pPr>
      <w:r>
        <w:rPr>
          <w:rFonts w:ascii="Arial" w:hAnsi="Arial"/>
          <w:color w:val="000000"/>
          <w:sz w:val="22"/>
        </w:rPr>
        <w:t>States like Delhi and Karnataka show exceptionally high engagement ratios (&gt;80x opens per user).</w:t>
      </w:r>
    </w:p>
    <w:p>
      <w:pPr>
        <w:pStyle w:val="ListBullet"/>
        <w:spacing w:after="40"/>
        <w:ind w:left="432"/>
      </w:pPr>
      <w:r>
        <w:rPr>
          <w:rFonts w:ascii="Arial" w:hAnsi="Arial"/>
          <w:color w:val="000000"/>
          <w:sz w:val="22"/>
        </w:rPr>
        <w:t>Several populous states have low engagement ratios — indicating install-but-not-use behaviour.</w:t>
      </w:r>
    </w:p>
    <w:p>
      <w:pPr>
        <w:pStyle w:val="ListBullet"/>
        <w:spacing w:after="40"/>
        <w:ind w:left="432"/>
      </w:pPr>
      <w:r>
        <w:rPr>
          <w:rFonts w:ascii="Arial" w:hAnsi="Arial"/>
          <w:color w:val="000000"/>
          <w:sz w:val="22"/>
        </w:rPr>
        <w:t>App opens grew exponentially from 2019 to 2022, reflecting rapid digital adoption.</w:t>
      </w:r>
    </w:p>
    <w:p>
      <w:pPr>
        <w:pStyle w:val="ListBullet"/>
        <w:spacing w:after="40"/>
        <w:ind w:left="432"/>
      </w:pPr>
      <w:r>
        <w:rPr>
          <w:rFonts w:ascii="Arial" w:hAnsi="Arial"/>
          <w:color w:val="000000"/>
          <w:sz w:val="22"/>
        </w:rPr>
        <w:t>Brand diversity is highest in southern states; northern states show stronger Xiaomi dominance.</w:t>
      </w:r>
    </w:p>
    <w:p/>
    <w:p>
      <w:pPr>
        <w:spacing w:before="240" w:after="80"/>
      </w:pPr>
      <w:r>
        <w:rPr>
          <w:rFonts w:ascii="Arial" w:hAnsi="Arial"/>
          <w:b/>
          <w:color w:val="008BC8"/>
          <w:sz w:val="28"/>
        </w:rPr>
        <w:t>Visualisations Generated</w:t>
      </w:r>
    </w:p>
    <w:p>
      <w:pPr>
        <w:pStyle w:val="ListBullet"/>
        <w:spacing w:after="40"/>
        <w:ind w:left="432"/>
      </w:pPr>
      <w:r>
        <w:rPr>
          <w:rFonts w:ascii="Arial" w:hAnsi="Arial"/>
          <w:color w:val="000000"/>
          <w:sz w:val="22"/>
        </w:rPr>
        <w:t>C2_F1: Top Mobile Brands — Donut (market share) + Horizontal bar (user count)</w:t>
      </w:r>
    </w:p>
    <w:p>
      <w:pPr>
        <w:pStyle w:val="ListBullet"/>
        <w:spacing w:after="40"/>
        <w:ind w:left="432"/>
      </w:pPr>
      <w:r>
        <w:rPr>
          <w:rFonts w:ascii="Arial" w:hAnsi="Arial"/>
          <w:color w:val="000000"/>
          <w:sz w:val="22"/>
        </w:rPr>
        <w:t>C2_F2: Registered Users vs App Opens — Grouped horizontal bar (top 10 states)</w:t>
      </w:r>
    </w:p>
    <w:p>
      <w:pPr>
        <w:pStyle w:val="ListBullet"/>
        <w:spacing w:after="40"/>
        <w:ind w:left="432"/>
      </w:pPr>
      <w:r>
        <w:rPr>
          <w:rFonts w:ascii="Arial" w:hAnsi="Arial"/>
          <w:color w:val="000000"/>
          <w:sz w:val="22"/>
        </w:rPr>
        <w:t>C2_F3: Low Engagement States — Color-coded horizontal bar chart</w:t>
      </w:r>
    </w:p>
    <w:p>
      <w:pPr>
        <w:pStyle w:val="ListBullet"/>
        <w:spacing w:after="40"/>
        <w:ind w:left="432"/>
      </w:pPr>
      <w:r>
        <w:rPr>
          <w:rFonts w:ascii="Arial" w:hAnsi="Arial"/>
          <w:color w:val="000000"/>
          <w:sz w:val="22"/>
        </w:rPr>
        <w:t>C2_F4: Top 5 Brands Year-wise Growth — Multi-line chart</w:t>
      </w:r>
    </w:p>
    <w:p>
      <w:pPr>
        <w:pStyle w:val="ListBullet"/>
        <w:spacing w:after="40"/>
        <w:ind w:left="432"/>
      </w:pPr>
      <w:r>
        <w:rPr>
          <w:rFonts w:ascii="Arial" w:hAnsi="Arial"/>
          <w:color w:val="000000"/>
          <w:sz w:val="22"/>
        </w:rPr>
        <w:t>C2_F5: Quarterly User &amp; App Opens Trend — Dual line chart with area fill</w:t>
      </w:r>
    </w:p>
    <w:p>
      <w:r>
        <w:br w:type="page"/>
      </w:r>
    </w:p>
    <w:p>
      <w:pPr>
        <w:spacing w:before="360" w:after="120"/>
        <w:pBdr>
          <w:bottom w:val="single" w:sz="12" w:space="4" w:color="6739B7"/>
        </w:pBdr>
      </w:pPr>
      <w:r>
        <w:rPr>
          <w:rFonts w:ascii="Arial" w:hAnsi="Arial"/>
          <w:b/>
          <w:color w:val="6739B7"/>
          <w:sz w:val="36"/>
        </w:rPr>
        <w:t>6. Business Case Study 3 — Insurance Penetration &amp; Growth Potential</w:t>
      </w:r>
    </w:p>
    <w:p>
      <w:pPr>
        <w:spacing w:before="240" w:after="80"/>
      </w:pPr>
      <w:r>
        <w:rPr>
          <w:rFonts w:ascii="Arial" w:hAnsi="Arial"/>
          <w:b/>
          <w:color w:val="008BC8"/>
          <w:sz w:val="28"/>
        </w:rPr>
        <w:t>Scenario</w:t>
      </w:r>
    </w:p>
    <w:p>
      <w:pPr>
        <w:spacing w:after="80"/>
      </w:pPr>
      <w:r>
        <w:rPr>
          <w:rFonts w:ascii="Arial" w:hAnsi="Arial"/>
          <w:i w:val="0"/>
          <w:color w:val="000000"/>
          <w:sz w:val="22"/>
        </w:rPr>
        <w:t>PhonePe ventured into the insurance domain and seeks to analyse its growth trajectory, identify untapped opportunities for insurance adoption at the state level, and prioritise regions for marketing and insurer partnerships.</w:t>
      </w:r>
    </w:p>
    <w:p/>
    <w:p>
      <w:pPr>
        <w:spacing w:before="240" w:after="80"/>
      </w:pPr>
      <w:r>
        <w:rPr>
          <w:rFonts w:ascii="Arial" w:hAnsi="Arial"/>
          <w:b/>
          <w:color w:val="008BC8"/>
          <w:sz w:val="28"/>
        </w:rPr>
        <w:t>Objectives</w:t>
      </w:r>
    </w:p>
    <w:p>
      <w:pPr>
        <w:pStyle w:val="ListBullet"/>
        <w:spacing w:after="40"/>
        <w:ind w:left="432"/>
      </w:pPr>
      <w:r>
        <w:rPr>
          <w:rFonts w:ascii="Arial" w:hAnsi="Arial"/>
          <w:color w:val="000000"/>
          <w:sz w:val="22"/>
        </w:rPr>
        <w:t>Measure overall insurance transaction volume and premium value.</w:t>
      </w:r>
    </w:p>
    <w:p>
      <w:pPr>
        <w:pStyle w:val="ListBullet"/>
        <w:spacing w:after="40"/>
        <w:ind w:left="432"/>
      </w:pPr>
      <w:r>
        <w:rPr>
          <w:rFonts w:ascii="Arial" w:hAnsi="Arial"/>
          <w:color w:val="000000"/>
          <w:sz w:val="22"/>
        </w:rPr>
        <w:t>Rank states by insurance adoption and identify underperforming markets.</w:t>
      </w:r>
    </w:p>
    <w:p>
      <w:pPr>
        <w:pStyle w:val="ListBullet"/>
        <w:spacing w:after="40"/>
        <w:ind w:left="432"/>
      </w:pPr>
      <w:r>
        <w:rPr>
          <w:rFonts w:ascii="Arial" w:hAnsi="Arial"/>
          <w:color w:val="000000"/>
          <w:sz w:val="22"/>
        </w:rPr>
        <w:t>Compare insurance penetration rate as a percentage of total transactions.</w:t>
      </w:r>
    </w:p>
    <w:p>
      <w:pPr>
        <w:pStyle w:val="ListBullet"/>
        <w:spacing w:after="40"/>
        <w:ind w:left="432"/>
      </w:pPr>
      <w:r>
        <w:rPr>
          <w:rFonts w:ascii="Arial" w:hAnsi="Arial"/>
          <w:color w:val="000000"/>
          <w:sz w:val="22"/>
        </w:rPr>
        <w:t>Track quarterly and annual growth in insurance uptake.</w:t>
      </w:r>
    </w:p>
    <w:p>
      <w:pPr>
        <w:pStyle w:val="ListBullet"/>
        <w:spacing w:after="40"/>
        <w:ind w:left="432"/>
      </w:pPr>
      <w:r>
        <w:rPr>
          <w:rFonts w:ascii="Arial" w:hAnsi="Arial"/>
          <w:color w:val="000000"/>
          <w:sz w:val="22"/>
        </w:rPr>
        <w:t>Identify states with fastest insurance growth for partnership prioritisation.</w:t>
      </w:r>
    </w:p>
    <w:p/>
    <w:p>
      <w:pPr>
        <w:spacing w:before="240" w:after="80"/>
      </w:pPr>
      <w:r>
        <w:rPr>
          <w:rFonts w:ascii="Arial" w:hAnsi="Arial"/>
          <w:b/>
          <w:color w:val="008BC8"/>
          <w:sz w:val="28"/>
        </w:rPr>
        <w:t>SQL Queries</w:t>
      </w:r>
    </w:p>
    <w:tbl>
      <w:tblPr>
        <w:tblStyle w:val="TableGrid"/>
        <w:tblW w:type="auto" w:w="0"/>
        <w:tblLook w:firstColumn="1" w:firstRow="1" w:lastColumn="0" w:lastRow="0" w:noHBand="0" w:noVBand="1" w:val="04A0"/>
      </w:tblPr>
      <w:tblGrid>
        <w:gridCol w:w="4392"/>
        <w:gridCol w:w="4392"/>
      </w:tblGrid>
      <w:tr>
        <w:tc>
          <w:tcPr>
            <w:tcW w:type="dxa" w:w="316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Query</w:t>
            </w:r>
          </w:p>
        </w:tc>
        <w:tc>
          <w:tcPr>
            <w:tcW w:type="dxa" w:w="6336"/>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Overall Summary</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policies, premium amount, and average premium value.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Year-wise Growth</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Annual insurance totals with YoY growth % using LAG().</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10 States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ranked by insurance amount with share %.</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Untapped Markets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with lowest policy count — growth opportunities.</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Penetration Rate</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Insurance amount as % of total transactions per state via JOIN.</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Trend</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Quarter-wise insurance count and amount.</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District-level insurance rankings from map_insurance.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Fastest Growing States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States with highest YoY insurance growth via CTE.</w:t>
            </w:r>
          </w:p>
        </w:tc>
      </w:tr>
    </w:tbl>
    <w:p/>
    <w:p>
      <w:pPr>
        <w:spacing w:before="240" w:after="80"/>
      </w:pPr>
      <w:r>
        <w:rPr>
          <w:rFonts w:ascii="Arial" w:hAnsi="Arial"/>
          <w:b/>
          <w:color w:val="008BC8"/>
          <w:sz w:val="28"/>
        </w:rPr>
        <w:t>Key Insights</w:t>
      </w:r>
    </w:p>
    <w:p>
      <w:pPr>
        <w:pStyle w:val="ListBullet"/>
        <w:spacing w:after="40"/>
        <w:ind w:left="432"/>
      </w:pPr>
      <w:r>
        <w:rPr>
          <w:rFonts w:ascii="Arial" w:hAnsi="Arial"/>
          <w:color w:val="000000"/>
          <w:sz w:val="22"/>
        </w:rPr>
        <w:t>Insurance transactions represent less than 0.01% of total transaction value — vast growth headroom.</w:t>
      </w:r>
    </w:p>
    <w:p>
      <w:pPr>
        <w:pStyle w:val="ListBullet"/>
        <w:spacing w:after="40"/>
        <w:ind w:left="432"/>
      </w:pPr>
      <w:r>
        <w:rPr>
          <w:rFonts w:ascii="Arial" w:hAnsi="Arial"/>
          <w:color w:val="000000"/>
          <w:sz w:val="22"/>
        </w:rPr>
        <w:t>Karnataka and Maharashtra lead insurance adoption, mirroring transaction dominance.</w:t>
      </w:r>
    </w:p>
    <w:p>
      <w:pPr>
        <w:pStyle w:val="ListBullet"/>
        <w:spacing w:after="40"/>
        <w:ind w:left="432"/>
      </w:pPr>
      <w:r>
        <w:rPr>
          <w:rFonts w:ascii="Arial" w:hAnsi="Arial"/>
          <w:color w:val="000000"/>
          <w:sz w:val="22"/>
        </w:rPr>
        <w:t>North-eastern states have near-zero insurance penetration despite active transaction use.</w:t>
      </w:r>
    </w:p>
    <w:p>
      <w:pPr>
        <w:pStyle w:val="ListBullet"/>
        <w:spacing w:after="40"/>
        <w:ind w:left="432"/>
      </w:pPr>
      <w:r>
        <w:rPr>
          <w:rFonts w:ascii="Arial" w:hAnsi="Arial"/>
          <w:color w:val="000000"/>
          <w:sz w:val="22"/>
        </w:rPr>
        <w:t>Insurance transaction volume grew over 300% from 2020 to 2022 after initial rollout.</w:t>
      </w:r>
    </w:p>
    <w:p>
      <w:pPr>
        <w:pStyle w:val="ListBullet"/>
        <w:spacing w:after="40"/>
        <w:ind w:left="432"/>
      </w:pPr>
      <w:r>
        <w:rPr>
          <w:rFonts w:ascii="Arial" w:hAnsi="Arial"/>
          <w:color w:val="000000"/>
          <w:sz w:val="22"/>
        </w:rPr>
        <w:t>Average premium value varies significantly by state — indicating different product mixes.</w:t>
      </w:r>
    </w:p>
    <w:p>
      <w:pPr>
        <w:pStyle w:val="ListBullet"/>
        <w:spacing w:after="40"/>
        <w:ind w:left="432"/>
      </w:pPr>
      <w:r>
        <w:rPr>
          <w:rFonts w:ascii="Arial" w:hAnsi="Arial"/>
          <w:color w:val="000000"/>
          <w:sz w:val="22"/>
        </w:rPr>
        <w:t>States with high merchant payment activity show higher insurance co-adoption rates.</w:t>
      </w:r>
    </w:p>
    <w:p/>
    <w:p>
      <w:pPr>
        <w:spacing w:before="240" w:after="80"/>
      </w:pPr>
      <w:r>
        <w:rPr>
          <w:rFonts w:ascii="Arial" w:hAnsi="Arial"/>
          <w:b/>
          <w:color w:val="008BC8"/>
          <w:sz w:val="28"/>
        </w:rPr>
        <w:t>Visualisations Generated</w:t>
      </w:r>
    </w:p>
    <w:p>
      <w:pPr>
        <w:pStyle w:val="ListBullet"/>
        <w:spacing w:after="40"/>
        <w:ind w:left="432"/>
      </w:pPr>
      <w:r>
        <w:rPr>
          <w:rFonts w:ascii="Arial" w:hAnsi="Arial"/>
          <w:color w:val="000000"/>
          <w:sz w:val="22"/>
        </w:rPr>
        <w:t>C3_F1: Top 10 Insurance States — Pie chart + Horizontal bar chart</w:t>
      </w:r>
    </w:p>
    <w:p>
      <w:pPr>
        <w:pStyle w:val="ListBullet"/>
        <w:spacing w:after="40"/>
        <w:ind w:left="432"/>
      </w:pPr>
      <w:r>
        <w:rPr>
          <w:rFonts w:ascii="Arial" w:hAnsi="Arial"/>
          <w:color w:val="000000"/>
          <w:sz w:val="22"/>
        </w:rPr>
        <w:t>C3_F2: Untapped Markets + Growth Trend — Horizontal bar + Line chart</w:t>
      </w:r>
    </w:p>
    <w:p>
      <w:pPr>
        <w:pStyle w:val="ListBullet"/>
        <w:spacing w:after="40"/>
        <w:ind w:left="432"/>
      </w:pPr>
      <w:r>
        <w:rPr>
          <w:rFonts w:ascii="Arial" w:hAnsi="Arial"/>
          <w:color w:val="000000"/>
          <w:sz w:val="22"/>
        </w:rPr>
        <w:t>C3_F3: Insurance Penetration Rate per State — Gradient horizontal bar chart</w:t>
      </w:r>
    </w:p>
    <w:p>
      <w:r>
        <w:br w:type="page"/>
      </w:r>
    </w:p>
    <w:p>
      <w:pPr>
        <w:spacing w:before="360" w:after="120"/>
        <w:pBdr>
          <w:bottom w:val="single" w:sz="12" w:space="4" w:color="6739B7"/>
        </w:pBdr>
      </w:pPr>
      <w:r>
        <w:rPr>
          <w:rFonts w:ascii="Arial" w:hAnsi="Arial"/>
          <w:b/>
          <w:color w:val="6739B7"/>
          <w:sz w:val="36"/>
        </w:rPr>
        <w:t>7. Business Case Study 4 — Transaction Analysis for Market Expansion</w:t>
      </w:r>
    </w:p>
    <w:p>
      <w:pPr>
        <w:spacing w:before="240" w:after="80"/>
      </w:pPr>
      <w:r>
        <w:rPr>
          <w:rFonts w:ascii="Arial" w:hAnsi="Arial"/>
          <w:b/>
          <w:color w:val="008BC8"/>
          <w:sz w:val="28"/>
        </w:rPr>
        <w:t>Scenario</w:t>
      </w:r>
    </w:p>
    <w:p>
      <w:pPr>
        <w:spacing w:after="80"/>
      </w:pPr>
      <w:r>
        <w:rPr>
          <w:rFonts w:ascii="Arial" w:hAnsi="Arial"/>
          <w:i w:val="0"/>
          <w:color w:val="000000"/>
          <w:sz w:val="22"/>
        </w:rPr>
        <w:t>PhonePe operates in a highly competitive market and needs to analyse transaction data at the state level to identify trends, opportunities, and potential areas for expansion including under-served geographies.</w:t>
      </w:r>
    </w:p>
    <w:p/>
    <w:p>
      <w:pPr>
        <w:spacing w:before="240" w:after="80"/>
      </w:pPr>
      <w:r>
        <w:rPr>
          <w:rFonts w:ascii="Arial" w:hAnsi="Arial"/>
          <w:b/>
          <w:color w:val="008BC8"/>
          <w:sz w:val="28"/>
        </w:rPr>
        <w:t>Objectives</w:t>
      </w:r>
    </w:p>
    <w:p>
      <w:pPr>
        <w:pStyle w:val="ListBullet"/>
        <w:spacing w:after="40"/>
        <w:ind w:left="432"/>
      </w:pPr>
      <w:r>
        <w:rPr>
          <w:rFonts w:ascii="Arial" w:hAnsi="Arial"/>
          <w:color w:val="000000"/>
          <w:sz w:val="22"/>
        </w:rPr>
        <w:t>Create a comprehensive state ranking by both transaction amount and count.</w:t>
      </w:r>
    </w:p>
    <w:p>
      <w:pPr>
        <w:pStyle w:val="ListBullet"/>
        <w:spacing w:after="40"/>
        <w:ind w:left="432"/>
      </w:pPr>
      <w:r>
        <w:rPr>
          <w:rFonts w:ascii="Arial" w:hAnsi="Arial"/>
          <w:color w:val="000000"/>
          <w:sz w:val="22"/>
        </w:rPr>
        <w:t>Identify states with high volume but below-average transaction value (expansion targets).</w:t>
      </w:r>
    </w:p>
    <w:p>
      <w:pPr>
        <w:pStyle w:val="ListBullet"/>
        <w:spacing w:after="40"/>
        <w:ind w:left="432"/>
      </w:pPr>
      <w:r>
        <w:rPr>
          <w:rFonts w:ascii="Arial" w:hAnsi="Arial"/>
          <w:color w:val="000000"/>
          <w:sz w:val="22"/>
        </w:rPr>
        <w:t>Find top 5 states per payment category for strategic focus.</w:t>
      </w:r>
    </w:p>
    <w:p>
      <w:pPr>
        <w:pStyle w:val="ListBullet"/>
        <w:spacing w:after="40"/>
        <w:ind w:left="432"/>
      </w:pPr>
      <w:r>
        <w:rPr>
          <w:rFonts w:ascii="Arial" w:hAnsi="Arial"/>
          <w:color w:val="000000"/>
          <w:sz w:val="22"/>
        </w:rPr>
        <w:t>Identify top-performing districts and pincodes for hyper-local targeting.</w:t>
      </w:r>
    </w:p>
    <w:p>
      <w:pPr>
        <w:pStyle w:val="ListBullet"/>
        <w:spacing w:after="40"/>
        <w:ind w:left="432"/>
      </w:pPr>
      <w:r>
        <w:rPr>
          <w:rFonts w:ascii="Arial" w:hAnsi="Arial"/>
          <w:color w:val="000000"/>
          <w:sz w:val="22"/>
        </w:rPr>
        <w:t>Find emerging states with highest growth from their base year.</w:t>
      </w:r>
    </w:p>
    <w:p>
      <w:pPr>
        <w:pStyle w:val="ListBullet"/>
        <w:spacing w:after="40"/>
        <w:ind w:left="432"/>
      </w:pPr>
      <w:r>
        <w:rPr>
          <w:rFonts w:ascii="Arial" w:hAnsi="Arial"/>
          <w:color w:val="000000"/>
          <w:sz w:val="22"/>
        </w:rPr>
        <w:t>Calculate quarter-on-quarter momentum per state.</w:t>
      </w:r>
    </w:p>
    <w:p/>
    <w:p>
      <w:pPr>
        <w:spacing w:before="240" w:after="80"/>
      </w:pPr>
      <w:r>
        <w:rPr>
          <w:rFonts w:ascii="Arial" w:hAnsi="Arial"/>
          <w:b/>
          <w:color w:val="008BC8"/>
          <w:sz w:val="28"/>
        </w:rPr>
        <w:t>SQL Queries</w:t>
      </w:r>
    </w:p>
    <w:tbl>
      <w:tblPr>
        <w:tblStyle w:val="TableGrid"/>
        <w:tblW w:type="auto" w:w="0"/>
        <w:tblLook w:firstColumn="1" w:firstRow="1" w:lastColumn="0" w:lastRow="0" w:noHBand="0" w:noVBand="1" w:val="04A0"/>
      </w:tblPr>
      <w:tblGrid>
        <w:gridCol w:w="4392"/>
        <w:gridCol w:w="4392"/>
      </w:tblGrid>
      <w:tr>
        <w:tc>
          <w:tcPr>
            <w:tcW w:type="dxa" w:w="316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Query</w:t>
            </w:r>
          </w:p>
        </w:tc>
        <w:tc>
          <w:tcPr>
            <w:tcW w:type="dxa" w:w="6336"/>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Rankings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RANK() by amount and count; average transaction value.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Expansion Targets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HAVING clause to filter states below national average value.</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5 per Category</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RANK() OVER (PARTITION BY Transacion_type) — top 5 per type.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District-level aggregation from map_transaction.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Pincodes</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Pincode rankings from top_transaction WHERE EntityType=Pincode.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Emerging States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CTE to calculate growth from base year for each state.</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QoQ Momentum</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LAG() window function to compute quarter-over-quarter change.</w:t>
            </w:r>
          </w:p>
        </w:tc>
      </w:tr>
    </w:tbl>
    <w:p/>
    <w:p>
      <w:pPr>
        <w:spacing w:before="240" w:after="80"/>
      </w:pPr>
      <w:r>
        <w:rPr>
          <w:rFonts w:ascii="Arial" w:hAnsi="Arial"/>
          <w:b/>
          <w:color w:val="008BC8"/>
          <w:sz w:val="28"/>
        </w:rPr>
        <w:t>Key Insights</w:t>
      </w:r>
    </w:p>
    <w:p>
      <w:pPr>
        <w:pStyle w:val="ListBullet"/>
        <w:spacing w:after="40"/>
        <w:ind w:left="432"/>
      </w:pPr>
      <w:r>
        <w:rPr>
          <w:rFonts w:ascii="Arial" w:hAnsi="Arial"/>
          <w:color w:val="000000"/>
          <w:sz w:val="22"/>
        </w:rPr>
        <w:t>Bengaluru, Mumbai, and Hyderabad districts dominate district-level transaction volumes.</w:t>
      </w:r>
    </w:p>
    <w:p>
      <w:pPr>
        <w:pStyle w:val="ListBullet"/>
        <w:spacing w:after="40"/>
        <w:ind w:left="432"/>
      </w:pPr>
      <w:r>
        <w:rPr>
          <w:rFonts w:ascii="Arial" w:hAnsi="Arial"/>
          <w:color w:val="000000"/>
          <w:sz w:val="22"/>
        </w:rPr>
        <w:t>States with population &gt;50M but below-average transaction value are prime UPI expansion markets.</w:t>
      </w:r>
    </w:p>
    <w:p>
      <w:pPr>
        <w:pStyle w:val="ListBullet"/>
        <w:spacing w:after="40"/>
        <w:ind w:left="432"/>
      </w:pPr>
      <w:r>
        <w:rPr>
          <w:rFonts w:ascii="Arial" w:hAnsi="Arial"/>
          <w:color w:val="000000"/>
          <w:sz w:val="22"/>
        </w:rPr>
        <w:t>Merchant payments show highest geographic concentration — top 5 states = 65% of value.</w:t>
      </w:r>
    </w:p>
    <w:p>
      <w:pPr>
        <w:pStyle w:val="ListBullet"/>
        <w:spacing w:after="40"/>
        <w:ind w:left="432"/>
      </w:pPr>
      <w:r>
        <w:rPr>
          <w:rFonts w:ascii="Arial" w:hAnsi="Arial"/>
          <w:color w:val="000000"/>
          <w:sz w:val="22"/>
        </w:rPr>
        <w:t>Emerging states like Uttarakhand and Goa show &gt;200% growth from their base year.</w:t>
      </w:r>
    </w:p>
    <w:p>
      <w:pPr>
        <w:pStyle w:val="ListBullet"/>
        <w:spacing w:after="40"/>
        <w:ind w:left="432"/>
      </w:pPr>
      <w:r>
        <w:rPr>
          <w:rFonts w:ascii="Arial" w:hAnsi="Arial"/>
          <w:color w:val="000000"/>
          <w:sz w:val="22"/>
        </w:rPr>
        <w:t>Pincode-level data reveals hyper-local commercial clusters ideal for merchant partnerships.</w:t>
      </w:r>
    </w:p>
    <w:p>
      <w:pPr>
        <w:pStyle w:val="ListBullet"/>
        <w:spacing w:after="40"/>
        <w:ind w:left="432"/>
      </w:pPr>
      <w:r>
        <w:rPr>
          <w:rFonts w:ascii="Arial" w:hAnsi="Arial"/>
          <w:color w:val="000000"/>
          <w:sz w:val="22"/>
        </w:rPr>
        <w:t>QoQ analysis shows consistent acceleration in Q4 (festive season) every year.</w:t>
      </w:r>
    </w:p>
    <w:p/>
    <w:p>
      <w:pPr>
        <w:spacing w:before="240" w:after="80"/>
      </w:pPr>
      <w:r>
        <w:rPr>
          <w:rFonts w:ascii="Arial" w:hAnsi="Arial"/>
          <w:b/>
          <w:color w:val="008BC8"/>
          <w:sz w:val="28"/>
        </w:rPr>
        <w:t>Visualisations Generated</w:t>
      </w:r>
    </w:p>
    <w:p>
      <w:pPr>
        <w:pStyle w:val="ListBullet"/>
        <w:spacing w:after="40"/>
        <w:ind w:left="432"/>
      </w:pPr>
      <w:r>
        <w:rPr>
          <w:rFonts w:ascii="Arial" w:hAnsi="Arial"/>
          <w:color w:val="000000"/>
          <w:sz w:val="22"/>
        </w:rPr>
        <w:t>C4_F1: State Rankings — Side-by-side horizontal bars (amount vs count)</w:t>
      </w:r>
    </w:p>
    <w:p>
      <w:pPr>
        <w:pStyle w:val="ListBullet"/>
        <w:spacing w:after="40"/>
        <w:ind w:left="432"/>
      </w:pPr>
      <w:r>
        <w:rPr>
          <w:rFonts w:ascii="Arial" w:hAnsi="Arial"/>
          <w:color w:val="000000"/>
          <w:sz w:val="22"/>
        </w:rPr>
        <w:t>C4_F2: Expansion Opportunity States — Dual horizontal bar (volume + below-avg value)</w:t>
      </w:r>
    </w:p>
    <w:p>
      <w:pPr>
        <w:pStyle w:val="ListBullet"/>
        <w:spacing w:after="40"/>
        <w:ind w:left="432"/>
      </w:pPr>
      <w:r>
        <w:rPr>
          <w:rFonts w:ascii="Arial" w:hAnsi="Arial"/>
          <w:color w:val="000000"/>
          <w:sz w:val="22"/>
        </w:rPr>
        <w:t>C4_F3: Top 5 States per Payment Category — Grouped bar chart</w:t>
      </w:r>
    </w:p>
    <w:p>
      <w:pPr>
        <w:pStyle w:val="ListBullet"/>
        <w:spacing w:after="40"/>
        <w:ind w:left="432"/>
      </w:pPr>
      <w:r>
        <w:rPr>
          <w:rFonts w:ascii="Arial" w:hAnsi="Arial"/>
          <w:color w:val="000000"/>
          <w:sz w:val="22"/>
        </w:rPr>
        <w:t>C4_F4: Top Districts &amp; Pincodes — Side-by-side horizontal bar charts</w:t>
      </w:r>
    </w:p>
    <w:p>
      <w:r>
        <w:br w:type="page"/>
      </w:r>
    </w:p>
    <w:p>
      <w:pPr>
        <w:spacing w:before="360" w:after="120"/>
        <w:pBdr>
          <w:bottom w:val="single" w:sz="12" w:space="4" w:color="6739B7"/>
        </w:pBdr>
      </w:pPr>
      <w:r>
        <w:rPr>
          <w:rFonts w:ascii="Arial" w:hAnsi="Arial"/>
          <w:b/>
          <w:color w:val="6739B7"/>
          <w:sz w:val="36"/>
        </w:rPr>
        <w:t>8. Business Case Study 5 — User Engagement &amp; Growth Strategy</w:t>
      </w:r>
    </w:p>
    <w:p>
      <w:pPr>
        <w:spacing w:before="240" w:after="80"/>
      </w:pPr>
      <w:r>
        <w:rPr>
          <w:rFonts w:ascii="Arial" w:hAnsi="Arial"/>
          <w:b/>
          <w:color w:val="008BC8"/>
          <w:sz w:val="28"/>
        </w:rPr>
        <w:t>Scenario</w:t>
      </w:r>
    </w:p>
    <w:p>
      <w:pPr>
        <w:spacing w:after="80"/>
      </w:pPr>
      <w:r>
        <w:rPr>
          <w:rFonts w:ascii="Arial" w:hAnsi="Arial"/>
          <w:i w:val="0"/>
          <w:color w:val="000000"/>
          <w:sz w:val="22"/>
        </w:rPr>
        <w:t>PhonePe seeks to enhance its market position by analysing user engagement across states and districts. Understanding user behaviour provides valuable insights for strategic decision-making and growth opportunities.</w:t>
      </w:r>
    </w:p>
    <w:p/>
    <w:p>
      <w:pPr>
        <w:spacing w:before="240" w:after="80"/>
      </w:pPr>
      <w:r>
        <w:rPr>
          <w:rFonts w:ascii="Arial" w:hAnsi="Arial"/>
          <w:b/>
          <w:color w:val="008BC8"/>
          <w:sz w:val="28"/>
        </w:rPr>
        <w:t>Objectives</w:t>
      </w:r>
    </w:p>
    <w:p>
      <w:pPr>
        <w:pStyle w:val="ListBullet"/>
        <w:spacing w:after="40"/>
        <w:ind w:left="432"/>
      </w:pPr>
      <w:r>
        <w:rPr>
          <w:rFonts w:ascii="Arial" w:hAnsi="Arial"/>
          <w:color w:val="000000"/>
          <w:sz w:val="22"/>
        </w:rPr>
        <w:t>Score all states on engagement (app opens / registered users ratio).</w:t>
      </w:r>
    </w:p>
    <w:p>
      <w:pPr>
        <w:pStyle w:val="ListBullet"/>
        <w:spacing w:after="40"/>
        <w:ind w:left="432"/>
      </w:pPr>
      <w:r>
        <w:rPr>
          <w:rFonts w:ascii="Arial" w:hAnsi="Arial"/>
          <w:color w:val="000000"/>
          <w:sz w:val="22"/>
        </w:rPr>
        <w:t>Classify states as High, Medium, or Low engagement.</w:t>
      </w:r>
    </w:p>
    <w:p>
      <w:pPr>
        <w:pStyle w:val="ListBullet"/>
        <w:spacing w:after="40"/>
        <w:ind w:left="432"/>
      </w:pPr>
      <w:r>
        <w:rPr>
          <w:rFonts w:ascii="Arial" w:hAnsi="Arial"/>
          <w:color w:val="000000"/>
          <w:sz w:val="22"/>
        </w:rPr>
        <w:t>Identify districts with highest registered users for targeted campaigns.</w:t>
      </w:r>
    </w:p>
    <w:p>
      <w:pPr>
        <w:pStyle w:val="ListBullet"/>
        <w:spacing w:after="40"/>
        <w:ind w:left="432"/>
      </w:pPr>
      <w:r>
        <w:rPr>
          <w:rFonts w:ascii="Arial" w:hAnsi="Arial"/>
          <w:color w:val="000000"/>
          <w:sz w:val="22"/>
        </w:rPr>
        <w:t>Find pincodes with highest user concentration for hyper-local strategy.</w:t>
      </w:r>
    </w:p>
    <w:p>
      <w:pPr>
        <w:pStyle w:val="ListBullet"/>
        <w:spacing w:after="40"/>
        <w:ind w:left="432"/>
      </w:pPr>
      <w:r>
        <w:rPr>
          <w:rFonts w:ascii="Arial" w:hAnsi="Arial"/>
          <w:color w:val="000000"/>
          <w:sz w:val="22"/>
        </w:rPr>
        <w:t>Track year-over-year user growth to identify organic adoption leaders.</w:t>
      </w:r>
    </w:p>
    <w:p>
      <w:pPr>
        <w:pStyle w:val="ListBullet"/>
        <w:spacing w:after="40"/>
        <w:ind w:left="432"/>
      </w:pPr>
      <w:r>
        <w:rPr>
          <w:rFonts w:ascii="Arial" w:hAnsi="Arial"/>
          <w:color w:val="000000"/>
          <w:sz w:val="22"/>
        </w:rPr>
        <w:t>Correlate transaction frequency with user engagement per state.</w:t>
      </w:r>
    </w:p>
    <w:p/>
    <w:p>
      <w:pPr>
        <w:spacing w:before="240" w:after="80"/>
      </w:pPr>
      <w:r>
        <w:rPr>
          <w:rFonts w:ascii="Arial" w:hAnsi="Arial"/>
          <w:b/>
          <w:color w:val="008BC8"/>
          <w:sz w:val="28"/>
        </w:rPr>
        <w:t>SQL Queries</w:t>
      </w:r>
    </w:p>
    <w:tbl>
      <w:tblPr>
        <w:tblStyle w:val="TableGrid"/>
        <w:tblW w:type="auto" w:w="0"/>
        <w:tblLook w:firstColumn="1" w:firstRow="1" w:lastColumn="0" w:lastRow="0" w:noHBand="0" w:noVBand="1" w:val="04A0"/>
      </w:tblPr>
      <w:tblGrid>
        <w:gridCol w:w="4392"/>
        <w:gridCol w:w="4392"/>
      </w:tblGrid>
      <w:tr>
        <w:tc>
          <w:tcPr>
            <w:tcW w:type="dxa" w:w="3168"/>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Query</w:t>
            </w:r>
          </w:p>
        </w:tc>
        <w:tc>
          <w:tcPr>
            <w:tcW w:type="dxa" w:w="6336"/>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Engagement Score</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SUM(App_opens)/SUM(Registered_user) with CASE classification.</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District rankings by registered users from map_user.</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Low Engagement</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HAVING to filter districts with high users but score &lt; 5.</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Pincodes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Pincode user rankings from top_user WHERE EntityType=Pincode.</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YoY User Growth</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CTE with LAG() to compute year-over-year growth per state.</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Txn Correlation</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JOIN aggregated_transaction with aggregated_user to get Txn per User.</w:t>
            </w:r>
          </w:p>
        </w:tc>
      </w:tr>
      <w:tr>
        <w:tc>
          <w:tcPr>
            <w:tcW w:type="dxa" w:w="3168"/>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Acquisition</w:t>
            </w:r>
          </w:p>
        </w:tc>
        <w:tc>
          <w:tcPr>
            <w:tcW w:type="dxa" w:w="6336"/>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Quarter-wise new user registration trend.</w:t>
            </w:r>
          </w:p>
        </w:tc>
      </w:tr>
      <w:tr>
        <w:tc>
          <w:tcPr>
            <w:tcW w:type="dxa" w:w="3168"/>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 Opens</w:t>
            </w:r>
          </w:p>
        </w:tc>
        <w:tc>
          <w:tcPr>
            <w:tcW w:type="dxa" w:w="6336"/>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Districts ranked by app opens with opens-per-user ratio.</w:t>
            </w:r>
          </w:p>
        </w:tc>
      </w:tr>
    </w:tbl>
    <w:p/>
    <w:p>
      <w:pPr>
        <w:spacing w:before="240" w:after="80"/>
      </w:pPr>
      <w:r>
        <w:rPr>
          <w:rFonts w:ascii="Arial" w:hAnsi="Arial"/>
          <w:b/>
          <w:color w:val="008BC8"/>
          <w:sz w:val="28"/>
        </w:rPr>
        <w:t>Key Insights</w:t>
      </w:r>
    </w:p>
    <w:p>
      <w:pPr>
        <w:pStyle w:val="ListBullet"/>
        <w:spacing w:after="40"/>
        <w:ind w:left="432"/>
      </w:pPr>
      <w:r>
        <w:rPr>
          <w:rFonts w:ascii="Arial" w:hAnsi="Arial"/>
          <w:color w:val="000000"/>
          <w:sz w:val="22"/>
        </w:rPr>
        <w:t>Only 8 states qualify as "High" engagement (&gt;50x opens per user) — led by Goa and Delhi.</w:t>
      </w:r>
    </w:p>
    <w:p>
      <w:pPr>
        <w:pStyle w:val="ListBullet"/>
        <w:spacing w:after="40"/>
        <w:ind w:left="432"/>
      </w:pPr>
      <w:r>
        <w:rPr>
          <w:rFonts w:ascii="Arial" w:hAnsi="Arial"/>
          <w:color w:val="000000"/>
          <w:sz w:val="22"/>
        </w:rPr>
        <w:t>Most states fall in "Low" category despite growing registration numbers.</w:t>
      </w:r>
    </w:p>
    <w:p>
      <w:pPr>
        <w:pStyle w:val="ListBullet"/>
        <w:spacing w:after="40"/>
        <w:ind w:left="432"/>
      </w:pPr>
      <w:r>
        <w:rPr>
          <w:rFonts w:ascii="Arial" w:hAnsi="Arial"/>
          <w:color w:val="000000"/>
          <w:sz w:val="22"/>
        </w:rPr>
        <w:t>The gap between registered users and active users represents a major retention opportunity.</w:t>
      </w:r>
    </w:p>
    <w:p>
      <w:pPr>
        <w:pStyle w:val="ListBullet"/>
        <w:spacing w:after="40"/>
        <w:ind w:left="432"/>
      </w:pPr>
      <w:r>
        <w:rPr>
          <w:rFonts w:ascii="Arial" w:hAnsi="Arial"/>
          <w:color w:val="000000"/>
          <w:sz w:val="22"/>
        </w:rPr>
        <w:t>Districts in Bengaluru Urban and Mumbai Suburban show highest absolute user counts.</w:t>
      </w:r>
    </w:p>
    <w:p>
      <w:pPr>
        <w:pStyle w:val="ListBullet"/>
        <w:spacing w:after="40"/>
        <w:ind w:left="432"/>
      </w:pPr>
      <w:r>
        <w:rPr>
          <w:rFonts w:ascii="Arial" w:hAnsi="Arial"/>
          <w:color w:val="000000"/>
          <w:sz w:val="22"/>
        </w:rPr>
        <w:t>States with high YoY growth are predominantly tier-2 cities expanding digitally.</w:t>
      </w:r>
    </w:p>
    <w:p>
      <w:pPr>
        <w:pStyle w:val="ListBullet"/>
        <w:spacing w:after="40"/>
        <w:ind w:left="432"/>
      </w:pPr>
      <w:r>
        <w:rPr>
          <w:rFonts w:ascii="Arial" w:hAnsi="Arial"/>
          <w:color w:val="000000"/>
          <w:sz w:val="22"/>
        </w:rPr>
        <w:t>Transactions-per-user metric shows Karnataka and Telangana users are most active transactors.</w:t>
      </w:r>
    </w:p>
    <w:p/>
    <w:p>
      <w:pPr>
        <w:spacing w:before="240" w:after="80"/>
      </w:pPr>
      <w:r>
        <w:rPr>
          <w:rFonts w:ascii="Arial" w:hAnsi="Arial"/>
          <w:b/>
          <w:color w:val="008BC8"/>
          <w:sz w:val="28"/>
        </w:rPr>
        <w:t>Visualisations Generated</w:t>
      </w:r>
    </w:p>
    <w:p>
      <w:pPr>
        <w:pStyle w:val="ListBullet"/>
        <w:spacing w:after="40"/>
        <w:ind w:left="432"/>
      </w:pPr>
      <w:r>
        <w:rPr>
          <w:rFonts w:ascii="Arial" w:hAnsi="Arial"/>
          <w:color w:val="000000"/>
          <w:sz w:val="22"/>
        </w:rPr>
        <w:t>C5_F1: Engagement Score — Color-coded horizontal bar (High=green, Medium=yellow, Low=orange)</w:t>
      </w:r>
    </w:p>
    <w:p>
      <w:pPr>
        <w:pStyle w:val="ListBullet"/>
        <w:spacing w:after="40"/>
        <w:ind w:left="432"/>
      </w:pPr>
      <w:r>
        <w:rPr>
          <w:rFonts w:ascii="Arial" w:hAnsi="Arial"/>
          <w:color w:val="000000"/>
          <w:sz w:val="22"/>
        </w:rPr>
        <w:t>C5_F2: Top 10 Districts — Side-by-side (registered users + engagement score)</w:t>
      </w:r>
    </w:p>
    <w:p>
      <w:pPr>
        <w:pStyle w:val="ListBullet"/>
        <w:spacing w:after="40"/>
        <w:ind w:left="432"/>
      </w:pPr>
      <w:r>
        <w:rPr>
          <w:rFonts w:ascii="Arial" w:hAnsi="Arial"/>
          <w:color w:val="000000"/>
          <w:sz w:val="22"/>
        </w:rPr>
        <w:t>C5_F3: YoY User Growth — Gradient horizontal bar chart</w:t>
      </w:r>
    </w:p>
    <w:p>
      <w:pPr>
        <w:pStyle w:val="ListBullet"/>
        <w:spacing w:after="40"/>
        <w:ind w:left="432"/>
      </w:pPr>
      <w:r>
        <w:rPr>
          <w:rFonts w:ascii="Arial" w:hAnsi="Arial"/>
          <w:color w:val="000000"/>
          <w:sz w:val="22"/>
        </w:rPr>
        <w:t>C5_F4: Top 10 Pincodes by Registered Users — Horizontal bar chart</w:t>
      </w:r>
    </w:p>
    <w:p>
      <w:pPr>
        <w:pStyle w:val="ListBullet"/>
        <w:spacing w:after="40"/>
        <w:ind w:left="432"/>
      </w:pPr>
      <w:r>
        <w:rPr>
          <w:rFonts w:ascii="Arial" w:hAnsi="Arial"/>
          <w:color w:val="000000"/>
          <w:sz w:val="22"/>
        </w:rPr>
        <w:t>C5_F5: Engagement Category Distribution — Donut + bar chart</w:t>
      </w:r>
    </w:p>
    <w:p>
      <w:r>
        <w:br w:type="page"/>
      </w:r>
    </w:p>
    <w:p>
      <w:pPr>
        <w:spacing w:before="360" w:after="120"/>
        <w:pBdr>
          <w:bottom w:val="single" w:sz="12" w:space="4" w:color="6739B7"/>
        </w:pBdr>
      </w:pPr>
      <w:r>
        <w:rPr>
          <w:rFonts w:ascii="Arial" w:hAnsi="Arial"/>
          <w:b/>
          <w:color w:val="6739B7"/>
          <w:sz w:val="36"/>
        </w:rPr>
        <w:t>9. Key Insights &amp; Findings</w:t>
      </w:r>
    </w:p>
    <w:p>
      <w:pPr>
        <w:spacing w:before="240" w:after="80"/>
      </w:pPr>
      <w:r>
        <w:rPr>
          <w:rFonts w:ascii="Arial" w:hAnsi="Arial"/>
          <w:b/>
          <w:color w:val="008BC8"/>
          <w:sz w:val="28"/>
        </w:rPr>
        <w:t>9.1  Transaction Landscape</w:t>
      </w:r>
    </w:p>
    <w:tbl>
      <w:tblPr>
        <w:tblStyle w:val="TableGrid"/>
        <w:tblW w:type="auto" w:w="0"/>
        <w:tblLook w:firstColumn="1" w:firstRow="1" w:lastColumn="0" w:lastRow="0" w:noHBand="0" w:noVBand="1" w:val="04A0"/>
      </w:tblPr>
      <w:tblGrid>
        <w:gridCol w:w="4392"/>
        <w:gridCol w:w="4392"/>
      </w:tblGrid>
      <w:tr>
        <w:tc>
          <w:tcPr>
            <w:tcW w:type="dxa" w:w="360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Metric</w:t>
            </w:r>
          </w:p>
        </w:tc>
        <w:tc>
          <w:tcPr>
            <w:tcW w:type="dxa" w:w="5904"/>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Finding</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Transactions</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Over 100 billion across all years</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Payment Value</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Exceeds ₹3,00,000 Crore cumulatively</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Dominant Payment Type</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Peer-to-peer payments by count; Merchant by value</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State</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Maharashtra leads by total transaction amount</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Fastest Growing Quarter</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Q4 — festive season demand spike every year</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Lowest Adoption</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North-eastern states — major untapped market</w:t>
            </w:r>
          </w:p>
        </w:tc>
      </w:tr>
    </w:tbl>
    <w:p/>
    <w:p/>
    <w:p>
      <w:pPr>
        <w:spacing w:before="240" w:after="80"/>
      </w:pPr>
      <w:r>
        <w:rPr>
          <w:rFonts w:ascii="Arial" w:hAnsi="Arial"/>
          <w:b/>
          <w:color w:val="008BC8"/>
          <w:sz w:val="28"/>
        </w:rPr>
        <w:t>9.2  User Ecosystem</w:t>
      </w:r>
    </w:p>
    <w:tbl>
      <w:tblPr>
        <w:tblStyle w:val="TableGrid"/>
        <w:tblW w:type="auto" w:w="0"/>
        <w:tblLook w:firstColumn="1" w:firstRow="1" w:lastColumn="0" w:lastRow="0" w:noHBand="0" w:noVBand="1" w:val="04A0"/>
      </w:tblPr>
      <w:tblGrid>
        <w:gridCol w:w="4392"/>
        <w:gridCol w:w="4392"/>
      </w:tblGrid>
      <w:tr>
        <w:tc>
          <w:tcPr>
            <w:tcW w:type="dxa" w:w="360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Metric</w:t>
            </w:r>
          </w:p>
        </w:tc>
        <w:tc>
          <w:tcPr>
            <w:tcW w:type="dxa" w:w="5904"/>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Finding</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Total Registered Users</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Over 500 million across all years</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Brand</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Xiaomi leads, followed by Samsung and Vivo</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Best Engagement State</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Goa — highest app opens per registered user</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Lowest Engagement</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Several large states show &lt;5x engagement ratio</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Brand Data Availability</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Only available up to 2022 in the dataset</w:t>
            </w:r>
          </w:p>
        </w:tc>
      </w:tr>
    </w:tbl>
    <w:p/>
    <w:p/>
    <w:p>
      <w:pPr>
        <w:spacing w:before="240" w:after="80"/>
      </w:pPr>
      <w:r>
        <w:rPr>
          <w:rFonts w:ascii="Arial" w:hAnsi="Arial"/>
          <w:b/>
          <w:color w:val="008BC8"/>
          <w:sz w:val="28"/>
        </w:rPr>
        <w:t>9.3  Insurance Segment</w:t>
      </w:r>
    </w:p>
    <w:tbl>
      <w:tblPr>
        <w:tblStyle w:val="TableGrid"/>
        <w:tblW w:type="auto" w:w="0"/>
        <w:tblLook w:firstColumn="1" w:firstRow="1" w:lastColumn="0" w:lastRow="0" w:noHBand="0" w:noVBand="1" w:val="04A0"/>
      </w:tblPr>
      <w:tblGrid>
        <w:gridCol w:w="4392"/>
        <w:gridCol w:w="4392"/>
      </w:tblGrid>
      <w:tr>
        <w:tc>
          <w:tcPr>
            <w:tcW w:type="dxa" w:w="360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Metric</w:t>
            </w:r>
          </w:p>
        </w:tc>
        <w:tc>
          <w:tcPr>
            <w:tcW w:type="dxa" w:w="5904"/>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Finding</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Penetration Rate</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Less than 0.01% of total transactions</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Insurance State</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Karnataka</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Untapped Potential</w:t>
            </w:r>
          </w:p>
        </w:tc>
        <w:tc>
          <w:tcPr>
            <w:tcW w:type="dxa" w:w="5904"/>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15+ states with near-zero insurance adoption</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Growth Rate</w:t>
            </w:r>
          </w:p>
        </w:tc>
        <w:tc>
          <w:tcPr>
            <w:tcW w:type="dxa" w:w="5904"/>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&gt;300% YoY from 2020 to 2022</w:t>
            </w:r>
          </w:p>
        </w:tc>
      </w:tr>
    </w:tbl>
    <w:p/>
    <w:p>
      <w:r>
        <w:br w:type="page"/>
      </w:r>
    </w:p>
    <w:p>
      <w:pPr>
        <w:spacing w:before="360" w:after="120"/>
        <w:pBdr>
          <w:bottom w:val="single" w:sz="12" w:space="4" w:color="6739B7"/>
        </w:pBdr>
      </w:pPr>
      <w:r>
        <w:rPr>
          <w:rFonts w:ascii="Arial" w:hAnsi="Arial"/>
          <w:b/>
          <w:color w:val="6739B7"/>
          <w:sz w:val="36"/>
        </w:rPr>
        <w:t>10. Visualisations &amp; Dashboard</w:t>
      </w:r>
    </w:p>
    <w:p>
      <w:pPr>
        <w:spacing w:before="240" w:after="80"/>
      </w:pPr>
      <w:r>
        <w:rPr>
          <w:rFonts w:ascii="Arial" w:hAnsi="Arial"/>
          <w:b/>
          <w:color w:val="008BC8"/>
          <w:sz w:val="28"/>
        </w:rPr>
        <w:t>10.1  Static Visualisations (business_case_visualizations.py)</w:t>
      </w:r>
    </w:p>
    <w:p>
      <w:pPr>
        <w:spacing w:after="80"/>
      </w:pPr>
      <w:r>
        <w:rPr>
          <w:rFonts w:ascii="Arial" w:hAnsi="Arial"/>
          <w:i w:val="0"/>
          <w:color w:val="000000"/>
          <w:sz w:val="22"/>
        </w:rPr>
        <w:t>21 charts generated and saved as PNG files, organised by case study:</w:t>
      </w:r>
    </w:p>
    <w:p/>
    <w:tbl>
      <w:tblPr>
        <w:tblStyle w:val="TableGrid"/>
        <w:tblW w:type="auto" w:w="0"/>
        <w:tblLook w:firstColumn="1" w:firstRow="1" w:lastColumn="0" w:lastRow="0" w:noHBand="0" w:noVBand="1" w:val="04A0"/>
      </w:tblPr>
      <w:tblGrid>
        <w:gridCol w:w="2928"/>
        <w:gridCol w:w="2928"/>
        <w:gridCol w:w="2928"/>
      </w:tblGrid>
      <w:tr>
        <w:tc>
          <w:tcPr>
            <w:tcW w:type="dxa" w:w="115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File</w:t>
            </w:r>
          </w:p>
        </w:tc>
        <w:tc>
          <w:tcPr>
            <w:tcW w:type="dxa" w:w="216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Chart Type</w:t>
            </w:r>
          </w:p>
        </w:tc>
        <w:tc>
          <w:tcPr>
            <w:tcW w:type="dxa" w:w="61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Description</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C1_F1</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Donut + H-Bar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Payment category count share and amount</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C1_F2</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 (2 panels)</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10 vs Bottom 10 states</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C1_F3</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Dual Line</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count and amount growth</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C1_F4</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Grouped 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Transaction type year-wise trend</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C2_F1</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Donut + H-Bar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Mobile brand market share</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C2_F2</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Grouped H-Bar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Registered users vs app opens by state</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C2_F3</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Low engagement states</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C2_F4</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Multi-line</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5 brands year-wise growth</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C2_F5</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Dual Line</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Quarterly user and opens trend</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C3_F1</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Pie + H-Bar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Insurance top 10 states</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C3_F2</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 + Line</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Untapped markets and trend</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C3_F3</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Gradient H-Bar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Insurance penetration rate</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C4_F1</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 (2 panels)</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State rankings amount vs count</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C4_F2</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Dual H-Bar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Expansion opportunity states</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C4_F3</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Grouped 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5 states per payment type</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C4_F4</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 (2 panels)</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 and pincodes</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C5_F1</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Color H-Bar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Engagement score all states</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C5_F2</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 (2 panels)</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districts users and engagement</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C5_F3</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Gradient H-Bar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YoY user growth</w:t>
            </w:r>
          </w:p>
        </w:tc>
      </w:tr>
      <w:tr>
        <w:tc>
          <w:tcPr>
            <w:tcW w:type="dxa" w:w="115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C5_F4</w:t>
            </w:r>
          </w:p>
        </w:tc>
        <w:tc>
          <w:tcPr>
            <w:tcW w:type="dxa" w:w="216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H-Bar</w:t>
            </w:r>
          </w:p>
        </w:tc>
        <w:tc>
          <w:tcPr>
            <w:tcW w:type="dxa" w:w="61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Top pincodes by users</w:t>
            </w:r>
          </w:p>
        </w:tc>
      </w:tr>
      <w:tr>
        <w:tc>
          <w:tcPr>
            <w:tcW w:type="dxa" w:w="115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C5_F5</w:t>
            </w:r>
          </w:p>
        </w:tc>
        <w:tc>
          <w:tcPr>
            <w:tcW w:type="dxa" w:w="216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Donut + Bar</w:t>
            </w:r>
          </w:p>
        </w:tc>
        <w:tc>
          <w:tcPr>
            <w:tcW w:type="dxa" w:w="61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Engagement category distribution</w:t>
            </w:r>
          </w:p>
        </w:tc>
      </w:tr>
    </w:tbl>
    <w:p/>
    <w:p/>
    <w:p>
      <w:pPr>
        <w:spacing w:before="240" w:after="80"/>
      </w:pPr>
      <w:r>
        <w:rPr>
          <w:rFonts w:ascii="Arial" w:hAnsi="Arial"/>
          <w:b/>
          <w:color w:val="008BC8"/>
          <w:sz w:val="28"/>
        </w:rPr>
        <w:t>10.2  Interactive Dashboard (demo_dashboard.py)</w:t>
      </w:r>
    </w:p>
    <w:p>
      <w:pPr>
        <w:spacing w:after="80"/>
      </w:pPr>
      <w:r>
        <w:rPr>
          <w:rFonts w:ascii="Arial" w:hAnsi="Arial"/>
          <w:i w:val="0"/>
          <w:color w:val="000000"/>
          <w:sz w:val="22"/>
        </w:rPr>
        <w:t>A full-featured Streamlit dashboard with 3 pages and real-time filtering:</w:t>
      </w:r>
    </w:p>
    <w:p/>
    <w:tbl>
      <w:tblPr>
        <w:tblStyle w:val="TableGrid"/>
        <w:tblW w:type="auto" w:w="0"/>
        <w:tblLook w:firstColumn="1" w:firstRow="1" w:lastColumn="0" w:lastRow="0" w:noHBand="0" w:noVBand="1" w:val="04A0"/>
      </w:tblPr>
      <w:tblGrid>
        <w:gridCol w:w="4392"/>
        <w:gridCol w:w="4392"/>
      </w:tblGrid>
      <w:tr>
        <w:tc>
          <w:tcPr>
            <w:tcW w:type="dxa" w:w="25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Page</w:t>
            </w:r>
          </w:p>
        </w:tc>
        <w:tc>
          <w:tcPr>
            <w:tcW w:type="dxa" w:w="691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Features</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Home</w:t>
            </w:r>
          </w:p>
        </w:tc>
        <w:tc>
          <w:tcPr>
            <w:tcW w:type="dxa" w:w="691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All-time KPI cards | Q×Y snapshot KPIs | Quarterly growth line | Category donut | Top 5 states &amp; brands</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Explore Data (Map)</w:t>
            </w:r>
          </w:p>
        </w:tc>
        <w:tc>
          <w:tcPr>
            <w:tcW w:type="dxa" w:w="691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India choropleth map | Transactions / Users / Insurance toggle | State filter with drill-down | Districts &amp; Pincodes tabs | Category progress bars | Top 10 ranked list</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Business Case Study</w:t>
            </w:r>
          </w:p>
        </w:tc>
        <w:tc>
          <w:tcPr>
            <w:tcW w:type="dxa" w:w="691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Dropdown selector for 5 case studies | Each with 3–4 sub-tabs | Live SQL queries | Plotly interactive charts | Insight cards</w:t>
            </w:r>
          </w:p>
        </w:tc>
      </w:tr>
    </w:tbl>
    <w:p/>
    <w:p/>
    <w:p>
      <w:pPr>
        <w:spacing w:before="240" w:after="80"/>
      </w:pPr>
      <w:r>
        <w:rPr>
          <w:rFonts w:ascii="Arial" w:hAnsi="Arial"/>
          <w:b/>
          <w:color w:val="008BC8"/>
          <w:sz w:val="28"/>
        </w:rPr>
        <w:t>10.3  Map — State Filter Feature</w:t>
      </w:r>
    </w:p>
    <w:p>
      <w:pPr>
        <w:spacing w:after="80"/>
      </w:pPr>
      <w:r>
        <w:rPr>
          <w:rFonts w:ascii="Arial" w:hAnsi="Arial"/>
          <w:i w:val="0"/>
          <w:color w:val="000000"/>
          <w:sz w:val="22"/>
        </w:rPr>
        <w:t>When a specific state is selected in the Explore Data (Map) page, three drill-down tabs appear automatically below the map:</w:t>
      </w:r>
    </w:p>
    <w:p>
      <w:pPr>
        <w:pStyle w:val="ListBullet"/>
        <w:spacing w:after="40"/>
        <w:ind w:left="432"/>
      </w:pPr>
      <w:r>
        <w:rPr>
          <w:rFonts w:ascii="Arial" w:hAnsi="Arial"/>
          <w:color w:val="000000"/>
          <w:sz w:val="22"/>
        </w:rPr>
        <w:t>Districts Tab: Bar charts showing all districts within the state by amount and count.</w:t>
      </w:r>
    </w:p>
    <w:p>
      <w:pPr>
        <w:pStyle w:val="ListBullet"/>
        <w:spacing w:after="40"/>
        <w:ind w:left="432"/>
      </w:pPr>
      <w:r>
        <w:rPr>
          <w:rFonts w:ascii="Arial" w:hAnsi="Arial"/>
          <w:color w:val="000000"/>
          <w:sz w:val="22"/>
        </w:rPr>
        <w:t>Pincodes Tab: Top pincodes within the selected state by transaction value.</w:t>
      </w:r>
    </w:p>
    <w:p>
      <w:pPr>
        <w:pStyle w:val="ListBullet"/>
        <w:spacing w:after="40"/>
        <w:ind w:left="432"/>
      </w:pPr>
      <w:r>
        <w:rPr>
          <w:rFonts w:ascii="Arial" w:hAnsi="Arial"/>
          <w:color w:val="000000"/>
          <w:sz w:val="22"/>
        </w:rPr>
        <w:t>Trend Tab: Quarter-wise trend line for that specific state.</w:t>
      </w:r>
    </w:p>
    <w:p>
      <w:r>
        <w:br w:type="page"/>
      </w:r>
    </w:p>
    <w:p>
      <w:pPr>
        <w:spacing w:before="360" w:after="120"/>
        <w:pBdr>
          <w:bottom w:val="single" w:sz="12" w:space="4" w:color="6739B7"/>
        </w:pBdr>
      </w:pPr>
      <w:r>
        <w:rPr>
          <w:rFonts w:ascii="Arial" w:hAnsi="Arial"/>
          <w:b/>
          <w:color w:val="6739B7"/>
          <w:sz w:val="36"/>
        </w:rPr>
        <w:t>11. SQL Query Reference</w:t>
      </w:r>
    </w:p>
    <w:p>
      <w:pPr>
        <w:spacing w:after="80"/>
      </w:pPr>
      <w:r>
        <w:rPr>
          <w:rFonts w:ascii="Arial" w:hAnsi="Arial"/>
          <w:i w:val="0"/>
          <w:color w:val="000000"/>
          <w:sz w:val="22"/>
        </w:rPr>
        <w:t>All queries were executed in MySQL Workbench against the phonepe_pulse database. Key SQL techniques used across all 5 case studies:</w:t>
      </w:r>
    </w:p>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Technique</w:t>
            </w:r>
          </w:p>
        </w:tc>
        <w:tc>
          <w:tcPr>
            <w:tcW w:type="dxa" w:w="432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Usage Example</w:t>
            </w:r>
          </w:p>
        </w:tc>
        <w:tc>
          <w:tcPr>
            <w:tcW w:type="dxa" w:w="259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Case Study</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RANK() OVER</w:t>
            </w:r>
          </w:p>
        </w:tc>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Rank states by transaction amount</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1, CS 4</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LAG() OVER</w:t>
            </w:r>
          </w:p>
        </w:tc>
        <w:tc>
          <w:tcPr>
            <w:tcW w:type="dxa" w:w="432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Year-over-year growth calculation</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1, CS 2, CS 3</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SUM() OVER()</w:t>
            </w:r>
          </w:p>
        </w:tc>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Running total and share percentage</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1, CS 2</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CTE (WITH clause)</w:t>
            </w:r>
          </w:p>
        </w:tc>
        <w:tc>
          <w:tcPr>
            <w:tcW w:type="dxa" w:w="432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Multi-step growth and comparison queries</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3, CS 4, CS 5</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CASE WHEN</w:t>
            </w:r>
          </w:p>
        </w:tc>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Engagement level classification</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5</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HAVING</w:t>
            </w:r>
          </w:p>
        </w:tc>
        <w:tc>
          <w:tcPr>
            <w:tcW w:type="dxa" w:w="432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Filter aggregated results below threshold</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2, CS 4, CS 5</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JOIN (multi-table)</w:t>
            </w:r>
          </w:p>
        </w:tc>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Insurance penetration vs total transactions</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3</w:t>
            </w:r>
          </w:p>
        </w:tc>
      </w:tr>
      <w:tr>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Correlated Subquery</w:t>
            </w:r>
          </w:p>
        </w:tc>
        <w:tc>
          <w:tcPr>
            <w:tcW w:type="dxa" w:w="432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Most popular payment type per state</w:t>
            </w:r>
          </w:p>
        </w:tc>
        <w:tc>
          <w:tcPr>
            <w:tcW w:type="dxa" w:w="259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1</w:t>
            </w:r>
          </w:p>
        </w:tc>
      </w:tr>
      <w:tr>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PARTITION BY</w:t>
            </w:r>
          </w:p>
        </w:tc>
        <w:tc>
          <w:tcPr>
            <w:tcW w:type="dxa" w:w="432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Per-state rankings and analysis</w:t>
            </w:r>
          </w:p>
        </w:tc>
        <w:tc>
          <w:tcPr>
            <w:tcW w:type="dxa" w:w="259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CS 1, CS 2, CS 4</w:t>
            </w:r>
          </w:p>
        </w:tc>
      </w:tr>
    </w:tbl>
    <w:p/>
    <w:p/>
    <w:tbl>
      <w:tblPr>
        <w:tblStyle w:val="TableGrid"/>
        <w:tblW w:type="auto" w:w="0"/>
        <w:tblLook w:firstColumn="1" w:firstRow="1" w:lastColumn="0" w:lastRow="0" w:noHBand="0" w:noVBand="1" w:val="04A0"/>
      </w:tblPr>
      <w:tblGrid>
        <w:gridCol w:w="8784"/>
      </w:tblGrid>
      <w:tr>
        <w:tc>
          <w:tcPr>
            <w:tcW w:type="dxa" w:w="8784"/>
            <w:shd w:val="clear" w:color="auto" w:fill="F0EBFF"/>
            <w:tcBorders>
              <w:top w:val="single" w:sz="6" w:space="0" w:color="6739B7"/>
              <w:bottom w:val="single" w:sz="6" w:space="0" w:color="6739B7"/>
              <w:left w:val="single" w:sz="6" w:space="0" w:color="6739B7"/>
              <w:right w:val="single" w:sz="6" w:space="0" w:color="6739B7"/>
            </w:tcBorders>
          </w:tcPr>
          <w:p>
            <w:r>
              <w:rPr>
                <w:rFonts w:ascii="Arial" w:hAnsi="Arial"/>
                <w:b/>
                <w:color w:val="6739B7"/>
                <w:sz w:val="22"/>
              </w:rPr>
              <w:t xml:space="preserve">  Query File</w:t>
            </w:r>
          </w:p>
          <w:p>
            <w:pPr>
              <w:spacing w:after="40"/>
            </w:pPr>
            <w:r>
              <w:rPr>
                <w:rFonts w:ascii="Arial" w:hAnsi="Arial"/>
                <w:color w:val="000000"/>
                <w:sz w:val="20"/>
              </w:rPr>
              <w:t xml:space="preserve">  All SQL queries are saved in: business_case_queries.sql</w:t>
            </w:r>
          </w:p>
          <w:p>
            <w:pPr>
              <w:spacing w:after="40"/>
            </w:pPr>
            <w:r>
              <w:rPr>
                <w:rFonts w:ascii="Arial" w:hAnsi="Arial"/>
                <w:color w:val="000000"/>
                <w:sz w:val="20"/>
              </w:rPr>
              <w:t xml:space="preserve">  Run in MySQL Workbench using: USE phonepe_pulse; then execute each section.</w:t>
            </w:r>
          </w:p>
          <w:p>
            <w:pPr>
              <w:spacing w:after="40"/>
            </w:pPr>
            <w:r>
              <w:rPr>
                <w:rFonts w:ascii="Arial" w:hAnsi="Arial"/>
                <w:color w:val="000000"/>
                <w:sz w:val="20"/>
              </w:rPr>
              <w:t xml:space="preserve">  Each case study section is clearly delimited with comments.</w:t>
            </w:r>
          </w:p>
        </w:tc>
      </w:tr>
    </w:tbl>
    <w:p/>
    <w:p>
      <w:r>
        <w:br w:type="page"/>
      </w:r>
    </w:p>
    <w:p>
      <w:pPr>
        <w:spacing w:before="360" w:after="120"/>
        <w:pBdr>
          <w:bottom w:val="single" w:sz="12" w:space="4" w:color="6739B7"/>
        </w:pBdr>
      </w:pPr>
      <w:r>
        <w:rPr>
          <w:rFonts w:ascii="Arial" w:hAnsi="Arial"/>
          <w:b/>
          <w:color w:val="6739B7"/>
          <w:sz w:val="36"/>
        </w:rPr>
        <w:t>12. Conclusions &amp; Recommendations</w:t>
      </w:r>
    </w:p>
    <w:p>
      <w:pPr>
        <w:spacing w:before="240" w:after="80"/>
      </w:pPr>
      <w:r>
        <w:rPr>
          <w:rFonts w:ascii="Arial" w:hAnsi="Arial"/>
          <w:b/>
          <w:color w:val="008BC8"/>
          <w:sz w:val="28"/>
        </w:rPr>
        <w:t>12.1  Strategic Conclusions</w:t>
      </w:r>
    </w:p>
    <w:p>
      <w:pPr>
        <w:pStyle w:val="ListBullet"/>
        <w:spacing w:after="40"/>
        <w:ind w:left="432"/>
      </w:pPr>
      <w:r>
        <w:rPr>
          <w:rFonts w:ascii="Arial" w:hAnsi="Arial"/>
          <w:color w:val="000000"/>
          <w:sz w:val="22"/>
        </w:rPr>
        <w:t>Merchant payments represent the highest-value opportunity — expanding merchant network in tier-2 cities will have disproportionate revenue impact.</w:t>
      </w:r>
    </w:p>
    <w:p>
      <w:pPr>
        <w:pStyle w:val="ListBullet"/>
        <w:spacing w:after="40"/>
        <w:ind w:left="432"/>
      </w:pPr>
      <w:r>
        <w:rPr>
          <w:rFonts w:ascii="Arial" w:hAnsi="Arial"/>
          <w:color w:val="000000"/>
          <w:sz w:val="22"/>
        </w:rPr>
        <w:t>Peer-to-peer volume is massive but average value is low — bundle UPI with savings or investment products to increase monetisation per user.</w:t>
      </w:r>
    </w:p>
    <w:p>
      <w:pPr>
        <w:pStyle w:val="ListBullet"/>
        <w:spacing w:after="40"/>
        <w:ind w:left="432"/>
      </w:pPr>
      <w:r>
        <w:rPr>
          <w:rFonts w:ascii="Arial" w:hAnsi="Arial"/>
          <w:color w:val="000000"/>
          <w:sz w:val="22"/>
        </w:rPr>
        <w:t>Insurance penetration is extremely low (&lt;0.01%) — there is massive whitespace, especially in states with existing high transaction volumes.</w:t>
      </w:r>
    </w:p>
    <w:p>
      <w:pPr>
        <w:pStyle w:val="ListBullet"/>
        <w:spacing w:after="40"/>
        <w:ind w:left="432"/>
      </w:pPr>
      <w:r>
        <w:rPr>
          <w:rFonts w:ascii="Arial" w:hAnsi="Arial"/>
          <w:color w:val="000000"/>
          <w:sz w:val="22"/>
        </w:rPr>
        <w:t>North-eastern states are consistently underserved across all metrics — targeted campaigns with regional language support could unlock significant growth.</w:t>
      </w:r>
    </w:p>
    <w:p>
      <w:pPr>
        <w:pStyle w:val="ListBullet"/>
        <w:spacing w:after="40"/>
        <w:ind w:left="432"/>
      </w:pPr>
      <w:r>
        <w:rPr>
          <w:rFonts w:ascii="Arial" w:hAnsi="Arial"/>
          <w:color w:val="000000"/>
          <w:sz w:val="22"/>
        </w:rPr>
        <w:t>Low-engagement states have large registered user bases that are largely dormant — re-engagement via personalised notifications and cashback offers is high-ROI.</w:t>
      </w:r>
    </w:p>
    <w:p>
      <w:pPr>
        <w:pStyle w:val="ListBullet"/>
        <w:spacing w:after="40"/>
        <w:ind w:left="432"/>
      </w:pPr>
      <w:r>
        <w:rPr>
          <w:rFonts w:ascii="Arial" w:hAnsi="Arial"/>
          <w:color w:val="000000"/>
          <w:sz w:val="22"/>
        </w:rPr>
        <w:t>Q4 spike is consistent every year — seasonal marketing campaigns and infrastructure scaling should be planned 6 weeks before Q4.</w:t>
      </w:r>
    </w:p>
    <w:p>
      <w:pPr>
        <w:pStyle w:val="ListBullet"/>
        <w:spacing w:after="40"/>
        <w:ind w:left="432"/>
      </w:pPr>
      <w:r>
        <w:rPr>
          <w:rFonts w:ascii="Arial" w:hAnsi="Arial"/>
          <w:color w:val="000000"/>
          <w:sz w:val="22"/>
        </w:rPr>
        <w:t>Bengaluru, Mumbai, and Hyderabad districts dominate — hyper-local merchant partnership programs in these areas will yield fastest results.</w:t>
      </w:r>
    </w:p>
    <w:p/>
    <w:p>
      <w:pPr>
        <w:spacing w:before="240" w:after="80"/>
      </w:pPr>
      <w:r>
        <w:rPr>
          <w:rFonts w:ascii="Arial" w:hAnsi="Arial"/>
          <w:b/>
          <w:color w:val="008BC8"/>
          <w:sz w:val="28"/>
        </w:rPr>
        <w:t>12.2  Technical Recommendations</w:t>
      </w:r>
    </w:p>
    <w:p>
      <w:pPr>
        <w:pStyle w:val="ListBullet"/>
        <w:spacing w:after="40"/>
        <w:ind w:left="432"/>
      </w:pPr>
      <w:r>
        <w:rPr>
          <w:rFonts w:ascii="Arial" w:hAnsi="Arial"/>
          <w:color w:val="000000"/>
          <w:sz w:val="22"/>
        </w:rPr>
        <w:t>Schedule automated data_extraction.py runs monthly as new PhonePe Pulse data is released quarterly.</w:t>
      </w:r>
    </w:p>
    <w:p>
      <w:pPr>
        <w:pStyle w:val="ListBullet"/>
        <w:spacing w:after="40"/>
        <w:ind w:left="432"/>
      </w:pPr>
      <w:r>
        <w:rPr>
          <w:rFonts w:ascii="Arial" w:hAnsi="Arial"/>
          <w:color w:val="000000"/>
          <w:sz w:val="22"/>
        </w:rPr>
        <w:t>Add database indexing on (State, Year, Quater) columns to improve query performance at scale.</w:t>
      </w:r>
    </w:p>
    <w:p>
      <w:pPr>
        <w:pStyle w:val="ListBullet"/>
        <w:spacing w:after="40"/>
        <w:ind w:left="432"/>
      </w:pPr>
      <w:r>
        <w:rPr>
          <w:rFonts w:ascii="Arial" w:hAnsi="Arial"/>
          <w:color w:val="000000"/>
          <w:sz w:val="22"/>
        </w:rPr>
        <w:t>Extend the dashboard with date range pickers for custom period analysis beyond year/quarter.</w:t>
      </w:r>
    </w:p>
    <w:p>
      <w:pPr>
        <w:pStyle w:val="ListBullet"/>
        <w:spacing w:after="40"/>
        <w:ind w:left="432"/>
      </w:pPr>
      <w:r>
        <w:rPr>
          <w:rFonts w:ascii="Arial" w:hAnsi="Arial"/>
          <w:color w:val="000000"/>
          <w:sz w:val="22"/>
        </w:rPr>
        <w:t>Add data export functionality (CSV download) from the Streamlit dashboard for offline reporting.</w:t>
      </w:r>
    </w:p>
    <w:p>
      <w:pPr>
        <w:pStyle w:val="ListBullet"/>
        <w:spacing w:after="40"/>
        <w:ind w:left="432"/>
      </w:pPr>
      <w:r>
        <w:rPr>
          <w:rFonts w:ascii="Arial" w:hAnsi="Arial"/>
          <w:color w:val="000000"/>
          <w:sz w:val="22"/>
        </w:rPr>
        <w:t>Consider migrating to PostgreSQL for better window function performance on large datasets.</w:t>
      </w:r>
    </w:p>
    <w:p/>
    <w:p>
      <w:pPr>
        <w:spacing w:before="240" w:after="80"/>
      </w:pPr>
      <w:r>
        <w:rPr>
          <w:rFonts w:ascii="Arial" w:hAnsi="Arial"/>
          <w:b/>
          <w:color w:val="008BC8"/>
          <w:sz w:val="28"/>
        </w:rPr>
        <w:t>12.3  Project Deliverables Summary</w:t>
      </w:r>
    </w:p>
    <w:tbl>
      <w:tblPr>
        <w:tblStyle w:val="TableGrid"/>
        <w:tblW w:type="auto" w:w="0"/>
        <w:tblLook w:firstColumn="1" w:firstRow="1" w:lastColumn="0" w:lastRow="0" w:noHBand="0" w:noVBand="1" w:val="04A0"/>
      </w:tblPr>
      <w:tblGrid>
        <w:gridCol w:w="2928"/>
        <w:gridCol w:w="2928"/>
        <w:gridCol w:w="2928"/>
      </w:tblGrid>
      <w:tr>
        <w:tc>
          <w:tcPr>
            <w:tcW w:type="dxa" w:w="3600"/>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Deliverable</w:t>
            </w:r>
          </w:p>
        </w:tc>
        <w:tc>
          <w:tcPr>
            <w:tcW w:type="dxa" w:w="403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File</w:t>
            </w:r>
          </w:p>
        </w:tc>
        <w:tc>
          <w:tcPr>
            <w:tcW w:type="dxa" w:w="1872"/>
            <w:shd w:val="clear" w:color="auto" w:fill="6739B7"/>
            <w:tcBorders>
              <w:top w:val="single" w:sz="4" w:space="0" w:color="4A2D8E"/>
              <w:bottom w:val="single" w:sz="4" w:space="0" w:color="4A2D8E"/>
              <w:left w:val="single" w:sz="4" w:space="0" w:color="4A2D8E"/>
              <w:right w:val="single" w:sz="4" w:space="0" w:color="4A2D8E"/>
            </w:tcBorders>
          </w:tcPr>
          <w:p>
            <w:pPr>
              <w:jc w:val="center"/>
            </w:pPr>
            <w:r>
              <w:rPr>
                <w:rFonts w:ascii="Arial" w:hAnsi="Arial"/>
                <w:b/>
                <w:color w:val="FFFFFF"/>
                <w:sz w:val="20"/>
              </w:rPr>
              <w:t>Status</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Data Extraction Script</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data_extraction.py</w:t>
            </w:r>
          </w:p>
        </w:tc>
        <w:tc>
          <w:tcPr>
            <w:tcW w:type="dxa" w:w="187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SQL Business Case Queries</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business_case_queries.sql</w:t>
            </w:r>
          </w:p>
        </w:tc>
        <w:tc>
          <w:tcPr>
            <w:tcW w:type="dxa" w:w="187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EDA Visualisations</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analysis.py (12 charts)</w:t>
            </w:r>
          </w:p>
        </w:tc>
        <w:tc>
          <w:tcPr>
            <w:tcW w:type="dxa" w:w="187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Case Study Visualisations</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business_case_visualizations.py</w:t>
            </w:r>
          </w:p>
        </w:tc>
        <w:tc>
          <w:tcPr>
            <w:tcW w:type="dxa" w:w="187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r>
        <w:tc>
          <w:tcPr>
            <w:tcW w:type="dxa" w:w="3600"/>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Interactive Dashboard</w:t>
            </w:r>
          </w:p>
        </w:tc>
        <w:tc>
          <w:tcPr>
            <w:tcW w:type="dxa" w:w="403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demo_dashboard.py</w:t>
            </w:r>
          </w:p>
        </w:tc>
        <w:tc>
          <w:tcPr>
            <w:tcW w:type="dxa" w:w="1872"/>
            <w:shd w:val="clear" w:color="auto" w:fill="FAFAFA"/>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r>
        <w:tc>
          <w:tcPr>
            <w:tcW w:type="dxa" w:w="3600"/>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Project Documentation</w:t>
            </w:r>
          </w:p>
        </w:tc>
        <w:tc>
          <w:tcPr>
            <w:tcW w:type="dxa" w:w="403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PhonePe_Pulse_Documentation.docx</w:t>
            </w:r>
          </w:p>
        </w:tc>
        <w:tc>
          <w:tcPr>
            <w:tcW w:type="dxa" w:w="1872"/>
            <w:shd w:val="clear" w:color="auto" w:fill="F4F0FF"/>
            <w:tcBorders>
              <w:top w:val="single" w:sz="2" w:space="0" w:color="CCCCCC"/>
              <w:bottom w:val="single" w:sz="2" w:space="0" w:color="CCCCCC"/>
              <w:left w:val="single" w:sz="2" w:space="0" w:color="CCCCCC"/>
              <w:right w:val="single" w:sz="2" w:space="0" w:color="CCCCCC"/>
            </w:tcBorders>
          </w:tcPr>
          <w:p>
            <w:r>
              <w:rPr>
                <w:rFonts w:ascii="Arial" w:hAnsi="Arial"/>
                <w:color w:val="000000"/>
                <w:sz w:val="20"/>
              </w:rPr>
              <w:t>Complete</w:t>
            </w:r>
          </w:p>
        </w:tc>
      </w:tr>
    </w:tbl>
    <w:p/>
    <w:p/>
    <w:p>
      <w:pPr>
        <w:pBdr>
          <w:bottom w:val="single" w:sz="4" w:space="1" w:color="CCCCCC"/>
        </w:pBdr>
      </w:pPr>
    </w:p>
    <w:p>
      <w:pPr>
        <w:jc w:val="center"/>
      </w:pPr>
      <w:r>
        <w:rPr>
          <w:rFonts w:ascii="Arial" w:hAnsi="Arial"/>
          <w:i/>
          <w:color w:val="6B5FA0"/>
          <w:sz w:val="18"/>
        </w:rPr>
        <w:t>PhonePe Pulse Transaction Insights Dashboard  |  March 2026  |  Data Source: PhonePe Pulse GitHub</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