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6. Conclusion and Future Work</w:t>
      </w:r>
    </w:p>
    <w:p>
      <w:pPr>
        <w:pStyle w:val="Heading1"/>
      </w:pPr>
      <w:r>
        <w:t>6.1 Concluding Remarks</w:t>
      </w:r>
    </w:p>
    <w:p>
      <w:r>
        <w:t>In this research, we have presented the Vanguard-WSN framework, a novel utility-driven architecture designed to overcome the volatility and energy inefficiencies inherent in probabilistic clustering protocols. By replacing randomized rotation with a deterministic Energy-Density Utility index ($U_i$) and integrating it with the Energy-Balanced Path Tree (EBPT), we have successfully addressed the "Energy Hole Problem" that has plagued Wireless Sensor Networks for decades.</w:t>
      </w:r>
    </w:p>
    <w:p>
      <w:r>
        <w:t xml:space="preserve">The numerical results presented in Section 5 provide a definitive proof of the framework's efficacy. Vanguard-WSN achieved a </w:t>
      </w:r>
      <w:r>
        <w:rPr>
          <w:b/>
        </w:rPr>
        <w:t>10.21x (1021%) improvement in network stability (FND)</w:t>
      </w:r>
      <w:r>
        <w:t xml:space="preserve"> compared to the baseline LEACH protocol, extending the First Node Death from round 97 to </w:t>
      </w:r>
      <w:r>
        <w:rPr>
          <w:b/>
        </w:rPr>
        <w:t>993.1 rounds</w:t>
      </w:r>
      <w:r>
        <w:t xml:space="preserve">. While this results in a necessary reduction in global energy fairness (Jain's Index of 0.15) due to the inherent relay burden in multi-hop trees, the massive gain in throughput (+955%) and network longevity justifies this trade-off. By operating at </w:t>
      </w:r>
      <w:r>
        <w:rPr>
          <w:b/>
        </w:rPr>
        <w:t>92% of the theoretical God-Line bound</w:t>
      </w:r>
      <w:r>
        <w:t>, Vanguard-WSN demonstrates that heuristic-driven deterministic models can approximate global optima with minimal computational overhead, making them ideal for resource-constrained IoT environments.</w:t>
      </w:r>
    </w:p>
    <w:p>
      <w:pPr>
        <w:pStyle w:val="Heading1"/>
      </w:pPr>
      <w:r>
        <w:t>6.2 Future Research Roadmap</w:t>
      </w:r>
    </w:p>
    <w:p>
      <w:r>
        <w:t>While the current implementation of Vanguard-WSN provides a robust foundation for stationary sensor deployments, several avenues for future research remain:</w:t>
      </w:r>
    </w:p>
    <w:p>
      <w:pPr>
        <w:pStyle w:val="Heading2"/>
      </w:pPr>
      <w:r>
        <w:t>6.2.1 Integration of Mobile Sinks</w:t>
      </w:r>
    </w:p>
    <w:p>
      <w:r>
        <w:t xml:space="preserve">The next phase of the Vanguard roadmap involves the integration of </w:t>
      </w:r>
      <w:r>
        <w:rPr>
          <w:b/>
        </w:rPr>
        <w:t>Mobile Sinks</w:t>
      </w:r>
      <w:r>
        <w:t>. By allowing the Base Station (or a set of robotic collectors) to traverse the field, we can further minimize the multi-hop relay burden. We aim to adapt the EBPT logic to dynamically track the sink's trajectory, ensuring that the tree "breathes" and reconfigures in real-time to maintain the shortest possible links to the moving destination.</w:t>
      </w:r>
    </w:p>
    <w:p>
      <w:pPr>
        <w:pStyle w:val="Heading2"/>
      </w:pPr>
      <w:r>
        <w:t>6.2.2 LoRaWAN and Long-Range Connectivity</w:t>
      </w:r>
    </w:p>
    <w:p>
      <w:r>
        <w:t xml:space="preserve">To enhance the scalability of Vanguard-WSN for large-scale agricultural or industrial monitoring, we plan to integrate </w:t>
      </w:r>
      <w:r>
        <w:rPr>
          <w:b/>
        </w:rPr>
        <w:t>LoRaWAN (Long Range Wide Area Network)</w:t>
      </w:r>
      <w:r>
        <w:t xml:space="preserve"> capabilities. Specifically, we intend to utilize Vanguard's clustering logic to form high-density "islands" of sensors that communicate via standard IEEE 802.15.4, while the designated Cluster Heads act as LoRa Gateways, transmitting aggregated data over several kilometers to the cloud. This hybrid long-range architecture will combine the energy-balancing strengths of EBPT with the massive coverage area provided by LoRa technology.</w:t>
      </w:r>
    </w:p>
    <w:p>
      <w:pPr>
        <w:pStyle w:val="Heading2"/>
      </w:pPr>
      <w:r>
        <w:t>6.2.3 AI-Driven Utility Tuning</w:t>
      </w:r>
    </w:p>
    <w:p>
      <w:r>
        <w:t xml:space="preserve">Finally, we intend to explore the use of </w:t>
      </w:r>
      <w:r>
        <w:rPr>
          <w:b/>
        </w:rPr>
        <w:t>Reinforcement Learning (RL)</w:t>
      </w:r>
      <w:r>
        <w:t xml:space="preserve"> to automatically tune the $\alpha$, $\beta$, and $\gamma$ parameters. By allowing the network to "learn" the optimal weights for different environmental stressors (e.g., sudden traffic bursts or extreme temperature gradients), we can move towards a truly autonomous, self-optimizing sensor ecosystem.</w:t>
      </w:r>
    </w:p>
    <w:p>
      <w:r>
        <w:t>In conclusion, Vanguard-WSN represents a significant leap forward in WSN longevity and reliability. It proves that by bridging the gap between theoretical optimal bounds and empirical heuristics through deterministic intelligence, we can build monitoring infrastructures that are truly sustainable for the next generation of the Internet of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