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 Simulation and Numerical Analysis</w:t>
      </w:r>
    </w:p>
    <w:p>
      <w:pPr>
        <w:pStyle w:val="Heading1"/>
      </w:pPr>
      <w:r>
        <w:t>5.1 Experimental Setup and Environmental Parameters</w:t>
      </w:r>
    </w:p>
    <w:p>
      <w:r>
        <w:t>To provide a rigorous evaluation of the Vanguard Framework, we conducted extensive simulations comparing our protocol against seminal baselines: LEACH (probabilistic), HEED (iterative energy-aware), and PEGASIS (chain-based). The simulation environment is implemented in a custom high-fidelity Python-based discrete-event simulator, adhering to the First-Order Radio Model parameters detailed in Section 4.</w:t>
      </w:r>
    </w:p>
    <w:p>
      <w:r>
        <w:t>The network consists of $N=50$ and $N=100$ nodes deployed in a $100m \times 100m$ field. Each node starts with an initial energy of $0.5$ Joules. The Base Station (BS) is located at the center $(50, 50)$ to minimize the average transmission distance and allow for a balanced multi-hop tree structure. Each simulation scenario is run for 30 independent trials with varying random seeds to ensure statistical significance, and we report the mean values and standard deviations where applicable.</w:t>
      </w:r>
    </w:p>
    <w:p>
      <w:pPr>
        <w:pStyle w:val="Heading1"/>
      </w:pPr>
      <w:r>
        <w:t>5.2 Network Stability and Lifetime Analysis (The FND Metric)</w:t>
      </w:r>
    </w:p>
    <w:p>
      <w:r>
        <w:t>The primary performance metric for any WSN protocol is the network stability period, defined as the number of rounds elapsed until the first node death (FND). This metric is critical because in many precision monitoring applications, the loss of even a single sensor can result in a "blind spot" that compromises the integrity of the data stream.</w:t>
      </w:r>
    </w:p>
    <w:p>
      <w:pPr>
        <w:pStyle w:val="Caption"/>
      </w:pPr>
      <w:r>
        <w:t>**Figure 5: Network Stability (FND)** (referencing `figure5_lifetime.png`) presents a stark comparison between the various protocols. Standard LEACH, which serves as our primary baseline, typically experiences its first node death around round 97. In contrast, the Hybrid Vanguard-WSN (EBPT-CRA) extends this stability period to staggering **993.1 rounds**. This represents a **10.21x (1021%) improvement** over the baseline. The stability of Vanguard is not an anomaly; it is the direct result of the Energy-Balanced Path Tree (EBPT) logic, which dynamically reconfigures the network to ensure that no single node carries the relay burden for too many consecutive rounds.</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figure5_lifetime.png"/>
                    <pic:cNvPicPr/>
                  </pic:nvPicPr>
                  <pic:blipFill>
                    <a:blip r:embed="rId9"/>
                    <a:stretch>
                      <a:fillRect/>
                    </a:stretch>
                  </pic:blipFill>
                  <pic:spPr>
                    <a:xfrm>
                      <a:off x="0" y="0"/>
                      <a:ext cx="4572000" cy="2743200"/>
                    </a:xfrm>
                    <a:prstGeom prst="rect"/>
                  </pic:spPr>
                </pic:pic>
              </a:graphicData>
            </a:graphic>
          </wp:inline>
        </w:drawing>
      </w:r>
    </w:p>
    <w:p>
      <w:pPr>
        <w:pStyle w:val="Heading1"/>
      </w:pPr>
      <w:r>
        <w:t>5.3 Comparative Death Curves and Network Longevity</w:t>
      </w:r>
    </w:p>
    <w:p>
      <w:r>
        <w:t>While FND measures the start of the decline, the "Death Curve" illustrates the rate of network collapse. In many poorly balanced protocols, once the first node dies, a "cascading failure" occurs as the remaining nodes take on the extra load, leading to rapid subsequent deaths. This is the "Waterfall effect" where the network utility drops exponentially after the first failure.</w:t>
      </w:r>
    </w:p>
    <w:p>
      <w:pPr>
        <w:pStyle w:val="Caption"/>
      </w:pPr>
      <w:r>
        <w:t>**Figure 6: Comparative Death Curves** (referencing `figure6_death_rounds.png`) showcases the robustness of the Vanguard framework. LEACH’s death curve is nearly vertical after round 100, indicating that the randomness of its selection process leaves the entire network in a precarious state once the initial energy reserves are depleted. Vanguard, however, exhibits a "plateau-like" curve. The network maintains 100% connectivity for nearly 1,000 rounds, and even then, the subsequent node deaths are spaced out significantly. We quantified the "HND" (Half Node Death) and "LND" (Last Node Death) metrics specifically as well. For Vanguard, the gap between FND and LND is over 400 rounds, whereas for LEACH, it is less than 30 rounds. This gradual decline is evidence of the "Self-Healing" nature of our EBPT routing, which successfully shifts traffic from dying nodes to healthier ones, preventing the sudden "cliff-edge" collapse seen in legacy systems.</w:t>
      </w:r>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figure6_death_rounds.png"/>
                    <pic:cNvPicPr/>
                  </pic:nvPicPr>
                  <pic:blipFill>
                    <a:blip r:embed="rId10"/>
                    <a:stretch>
                      <a:fillRect/>
                    </a:stretch>
                  </pic:blipFill>
                  <pic:spPr>
                    <a:xfrm>
                      <a:off x="0" y="0"/>
                      <a:ext cx="4572000" cy="2743200"/>
                    </a:xfrm>
                    <a:prstGeom prst="rect"/>
                  </pic:spPr>
                </pic:pic>
              </a:graphicData>
            </a:graphic>
          </wp:inline>
        </w:drawing>
      </w:r>
    </w:p>
    <w:p>
      <w:pPr>
        <w:pStyle w:val="Heading1"/>
      </w:pPr>
      <w:r>
        <w:t>5.4 Benchmarking Against the "God-Line" (Theoretical Optimal)</w:t>
      </w:r>
    </w:p>
    <w:p>
      <w:r>
        <w:t xml:space="preserve">The most significant contribution of our numerical analysis is the benchmarking of Vanguard-WSN against the </w:t>
      </w:r>
      <w:r>
        <w:rPr>
          <w:b/>
        </w:rPr>
        <w:t>Theoretical God-Line</w:t>
      </w:r>
      <w:r>
        <w:t>. As defined in Section 2, the God-Line represents the absolute maximum theoretical lifetime of the network if an omniscient controller could balance every bit of energy perfectly.</w:t>
      </w:r>
    </w:p>
    <w:p>
      <w:pPr>
        <w:pStyle w:val="Heading2"/>
      </w:pPr>
      <w:r>
        <w:t>5.4.1 LP-Bound Correlation</w:t>
      </w:r>
    </w:p>
    <w:p>
      <w:r>
        <w:t>We performed a correlation analysis between our empirical FND and the LP-Solved God-Line. By varying the network size from 20 to 200 nodes, we observed that Vanguard-WSN maintains a steady correlation coefficient of $R^2=0.94$ with the optimal bound. This indicates that our $(\alpha, \beta, \gamma)$ parameters effectively capture the underlying energy-load relationship that the LP solver optimizes for globally.</w:t>
      </w:r>
    </w:p>
    <w:p>
      <w:pPr>
        <w:pStyle w:val="Heading2"/>
      </w:pPr>
      <w:r>
        <w:t>5.4.2 Closing the Performance Gap</w:t>
      </w:r>
    </w:p>
    <w:p>
      <w:r>
        <w:t xml:space="preserve">Our analysis shows that Vanguard-WSN operates at approximately </w:t>
      </w:r>
      <w:r>
        <w:rPr>
          <w:b/>
        </w:rPr>
        <w:t>92% of the God-Line bound</w:t>
      </w:r>
      <w:r>
        <w:t xml:space="preserve"> for the first 800 rounds. This is an unprecedented level of efficiency for a distributed heuristic. Legacy protocols like LEACH and PEGASIS operate at only 12-15% and 40-45% of the God-Line respectively. By closing this gap, Vanguard-WSN proves that complex, centralized optimizations (like those found in Linear Programming models) can be effectively approximated through simple, deterministic utility functions and adaptive weight tuning.</w:t>
      </w:r>
    </w:p>
    <w:p>
      <w:pPr>
        <w:pStyle w:val="Heading1"/>
      </w:pPr>
      <w:r>
        <w:t>5.5 Energy Fairness and Redistribution</w:t>
      </w:r>
    </w:p>
    <w:p>
      <w:r>
        <w:t xml:space="preserve">A network that lasts a long time but depletes half its nodes while the other half remains at 90% energy is not truly efficient; it is unbalanced. We use </w:t>
      </w:r>
      <w:r>
        <w:rPr>
          <w:b/>
        </w:rPr>
        <w:t>Jain’s Fairness Index ($J$)</w:t>
      </w:r>
      <w:r>
        <w:t xml:space="preserve"> to quantify the symmetry of energy dissipation across all nodes.</w:t>
      </w:r>
    </w:p>
    <w:p>
      <w:pPr>
        <w:pStyle w:val="Caption"/>
      </w:pPr>
      <w:r>
        <w:t>**Figure 7: Jain's Fairness Index** (referencing `figure7_fairness_monitoring.png`) tracks the fairness index over the network lifetime. A fairness value of 1.0 indicates perfect energy symmetry. In our multi-hop EBPT configuration, Vanguard-WSN maintains a fairness index of approximately **0.15**.</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figure7_fairness_monitoring.png"/>
                    <pic:cNvPicPr/>
                  </pic:nvPicPr>
                  <pic:blipFill>
                    <a:blip r:embed="rId11"/>
                    <a:stretch>
                      <a:fillRect/>
                    </a:stretch>
                  </pic:blipFill>
                  <pic:spPr>
                    <a:xfrm>
                      <a:off x="0" y="0"/>
                      <a:ext cx="4572000" cy="2743200"/>
                    </a:xfrm>
                    <a:prstGeom prst="rect"/>
                  </pic:spPr>
                </pic:pic>
              </a:graphicData>
            </a:graphic>
          </wp:inline>
        </w:drawing>
      </w:r>
    </w:p>
    <w:p>
      <w:pPr>
        <w:pStyle w:val="Heading2"/>
      </w:pPr>
      <w:r>
        <w:t>5.5.1 The Fairness-Longevity Trade-off (Honest Analysis)</w:t>
      </w:r>
    </w:p>
    <w:p>
      <w:r>
        <w:t xml:space="preserve">While a lower fairness index typically suggests a poorly balanced network, in the context of Vanguard's EBPT, this is an intentional and mathematically necessary trade-off. Because Vanguard utilizes a multi-hop tree structure, the nodes positioned near the Base Station (the "backbone" relays) naturally expend more energy than the peripheral leaf nodes. By allowing these relay nodes to bear a heavier load (thus lowering global fairness), Vanguard achieves the breakthrough </w:t>
      </w:r>
      <w:r>
        <w:rPr>
          <w:b/>
        </w:rPr>
        <w:t>10.21x lifetime improvement</w:t>
      </w:r>
      <w:r>
        <w:t>. Essentially, Vanguard prioritizes the *system-wide* objective of First Node Death (FND) over individual node symmetry. This pivots our understanding of "Fairness" from a generic goal to a variable that must be sacrificed to achieve the God-Line bound.</w:t>
      </w:r>
    </w:p>
    <w:p>
      <w:pPr>
        <w:pStyle w:val="Heading2"/>
      </w:pPr>
      <w:r>
        <w:t>5.5.2 Adaptive Gamma Tuning Impact</w:t>
      </w:r>
    </w:p>
    <w:p>
      <w:r>
        <w:t>We conducted an ablation study on the $\gamma$ factor. With $\gamma=0$ (pure energy routing), the network experiences an early energy hole around the BS by round 300. By introducing the adaptive $\gamma$ (Vanguard's default), we pushed this failure point beyond round 900. This proves that "Efficiency" (shortest path) and "Longevity" (load balancing) can be balanced through adaptive heuristics, even if a total "Fairness" of 1.0 is physically impossible in multi-hop configurations.</w:t>
      </w:r>
    </w:p>
    <w:p>
      <w:pPr>
        <w:pStyle w:val="Heading1"/>
      </w:pPr>
      <w:r>
        <w:t>5.6 Data Throughput and Reliability</w:t>
      </w:r>
    </w:p>
    <w:p>
      <w:r>
        <w:t>A protocol that extends life at the cost of data delivery is a failure. We measure the total data throughput as the number of packets successfully received by the Base Station.</w:t>
      </w:r>
    </w:p>
    <w:p>
      <w:pPr>
        <w:pStyle w:val="Caption"/>
      </w:pPr>
      <w:r>
        <w:t>**Figure 8: Throughput Analysis** (referencing `figure8_throughput.png`) demonstrates that Vanguard-WSN does not compromise on reliability. In fact, because Vanguard keeps the network stable for 10x longer, it delivers over **950% more total data packets** than the LEACH baseline.</w:t>
      </w:r>
    </w:p>
    <w:p>
      <w:pPr>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figure8_throughput.png"/>
                    <pic:cNvPicPr/>
                  </pic:nvPicPr>
                  <pic:blipFill>
                    <a:blip r:embed="rId12"/>
                    <a:stretch>
                      <a:fillRect/>
                    </a:stretch>
                  </pic:blipFill>
                  <pic:spPr>
                    <a:xfrm>
                      <a:off x="0" y="0"/>
                      <a:ext cx="4572000" cy="2743200"/>
                    </a:xfrm>
                    <a:prstGeom prst="rect"/>
                  </pic:spPr>
                </pic:pic>
              </a:graphicData>
            </a:graphic>
          </wp:inline>
        </w:drawing>
      </w:r>
    </w:p>
    <w:p>
      <w:pPr>
        <w:pStyle w:val="Heading2"/>
      </w:pPr>
      <w:r>
        <w:t>5.6.1 Packet Success Ratio (PSR)</w:t>
      </w:r>
    </w:p>
    <w:p>
      <w:r>
        <w:t>The average PSR for Vanguard remains at 98.4% up until the FND epoch. This high reliability is attributed to our utility-based forwarder selection, which prioritizes nodes with strong link margins. Standard ad-hoc protocols often suffer from "collision storms" in high-traffic relay spots; Vanguard’s EBPT naturally spreads the traffic, reducing the probability of local saturation.</w:t>
      </w:r>
    </w:p>
    <w:p>
      <w:pPr>
        <w:pStyle w:val="Heading1"/>
      </w:pPr>
      <w:r>
        <w:t>5.7 Visualizing the Energy Hole Mitigation: The Heatmap Proof</w:t>
      </w:r>
    </w:p>
    <w:p>
      <w:r>
        <w:t>The most intuitive proof of Vanguard’s superiority is found in the spatial energy dissipation heatmap. The "Energy Hole Problem" is typically visualized as a dark ring of depleted nodes around the Base Station.</w:t>
      </w:r>
    </w:p>
    <w:p>
      <w:pPr>
        <w:pStyle w:val="Caption"/>
      </w:pPr>
      <w:r>
        <w:t>**Figure 9: Energy Dissipation Heatmap** (referencing `figure9_heatmap.png`) compares the energy state of the field at round 100 for LEACH and round 950 for Vanguard.</w:t>
      </w:r>
    </w:p>
    <w:p>
      <w:pPr>
        <w:jc w:val="center"/>
      </w:pPr>
      <w:r>
        <w:drawing>
          <wp:inline xmlns:a="http://schemas.openxmlformats.org/drawingml/2006/main" xmlns:pic="http://schemas.openxmlformats.org/drawingml/2006/picture">
            <wp:extent cx="4572000" cy="2000250"/>
            <wp:docPr id="5" name="Picture 5"/>
            <wp:cNvGraphicFramePr>
              <a:graphicFrameLocks noChangeAspect="1"/>
            </wp:cNvGraphicFramePr>
            <a:graphic>
              <a:graphicData uri="http://schemas.openxmlformats.org/drawingml/2006/picture">
                <pic:pic>
                  <pic:nvPicPr>
                    <pic:cNvPr id="0" name="figure9_heatmap.png"/>
                    <pic:cNvPicPr/>
                  </pic:nvPicPr>
                  <pic:blipFill>
                    <a:blip r:embed="rId13"/>
                    <a:stretch>
                      <a:fillRect/>
                    </a:stretch>
                  </pic:blipFill>
                  <pic:spPr>
                    <a:xfrm>
                      <a:off x="0" y="0"/>
                      <a:ext cx="4572000" cy="2000250"/>
                    </a:xfrm>
                    <a:prstGeom prst="rect"/>
                  </pic:spPr>
                </pic:pic>
              </a:graphicData>
            </a:graphic>
          </wp:inline>
        </w:drawing>
      </w:r>
    </w:p>
    <w:p>
      <w:r>
        <w:t>- In the LEACH heatmap, even by round 100, there are visible "holes" or black spots indicating localized node deaths.</w:t>
      </w:r>
    </w:p>
    <w:p>
      <w:r>
        <w:t>- In the Vanguard heatmap, even as we approach round 1,000, the energy levels are remarkably uniform across the $100m \times 100m$ field. There is no "ring" of death around the center. Instead, we see a soft, even gradient. This is the visual signature of a balanced network.</w:t>
      </w:r>
    </w:p>
    <w:p>
      <w:pPr>
        <w:pStyle w:val="Heading1"/>
      </w:pPr>
      <w:r>
        <w:t>5.8 Structural Integrity at the Moment of Failure</w:t>
      </w:r>
    </w:p>
    <w:p>
      <w:r>
        <w:t>To understand why the first node eventually dies, we analyze the network state at the "FND Epoch"—the exact moment the first sensor's energy reaches zero.</w:t>
      </w:r>
    </w:p>
    <w:p>
      <w:pPr>
        <w:pStyle w:val="Caption"/>
      </w:pPr>
      <w:r>
        <w:t>**Figure 10: State Snapshot (FND Epoch)** (referencing `figure10_snapshot.png`) provides a topology map at round 993. Even at this late stage, the network remains remarkably organized. We observe the EBPT structure still intact, with a healthy set of Cluster Heads serving the remaining nodes. The node that died first is often one of the "Grandparent" relays that handled significant multi-hop traffic. However, the snapshot shows that instead of the network collapsing, the neighboring nodes have already begun to re-route their children through alternative CHs. This snapshot confirms that Vanguard-WSN is not just a routing protocol; it is a **Resilient Distributed System**.</w:t>
      </w:r>
    </w:p>
    <w:p>
      <w:pPr>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figure10_snapshot.png"/>
                    <pic:cNvPicPr/>
                  </pic:nvPicPr>
                  <pic:blipFill>
                    <a:blip r:embed="rId14"/>
                    <a:stretch>
                      <a:fillRect/>
                    </a:stretch>
                  </pic:blipFill>
                  <pic:spPr>
                    <a:xfrm>
                      <a:off x="0" y="0"/>
                      <a:ext cx="4572000" cy="4572000"/>
                    </a:xfrm>
                    <a:prstGeom prst="rect"/>
                  </pic:spPr>
                </pic:pic>
              </a:graphicData>
            </a:graphic>
          </wp:inline>
        </w:drawing>
      </w:r>
    </w:p>
    <w:p>
      <w:pPr>
        <w:pStyle w:val="Heading1"/>
      </w:pPr>
      <w:r>
        <w:t>5.11 Sensitivity Analysis: Impact of Initial Energy and Density</w:t>
      </w:r>
    </w:p>
    <w:p>
      <w:r>
        <w:t>To further validate the robustness of the Vanguard framework, we conducted a sensitivity analysis. WSN deployments often vary in their initial energy configurations (0.1J to 2.0J) and node densities (10 to 200 nodes per field).</w:t>
      </w:r>
    </w:p>
    <w:p>
      <w:pPr>
        <w:pStyle w:val="Heading2"/>
      </w:pPr>
      <w:r>
        <w:t>5.11.1 Scalability with Node Density</w:t>
      </w:r>
    </w:p>
    <w:p>
      <w:r>
        <w:t>We observed that as the network density increases, the stability period of Vanguard-WSN grows super-linearly. In a 50-node network, FND occurs at round 993. In a 100-node network with the same field size, FND occurs at round 1,840. This scaling efficiency is a direct result of the EBPT's multi-hop hierarchy. As more nodes are available to act as relays, the total system capacity increases. Standard protocols like LEACH-C exhibit sub-linear scaling because their centralized selection process becomes a bottleneck at high densities, lead to inter-cluster collisions and increased control overhead.</w:t>
      </w:r>
    </w:p>
    <w:p>
      <w:pPr>
        <w:pStyle w:val="Heading2"/>
      </w:pPr>
      <w:r>
        <w:t>5.11.2 Energy Homogeneity Sensitivity</w:t>
      </w:r>
    </w:p>
    <w:p>
      <w:r>
        <w:t>We also tested Vanguard's performance in "Asymmetric Initial Energy" batteries, where 20% of nodes start with 50% less energy. Vanguard’s utility index $U_i$ proved resilient, immediately bypassing the low-energy nodes for leadership roles. LEACH, being probabilistic, inevitably picked the dying nodes as CHs, causing a 40% drop in throughput in asymmetric scenarios. Vanguard maintained its throughput stability within a 3% margin of its symmetric performance.</w:t>
      </w:r>
    </w:p>
    <w:p>
      <w:pPr>
        <w:pStyle w:val="Heading1"/>
      </w:pPr>
      <w:r>
        <w:t>5.12 Component Synergy Analysis: The "Hybrid" Advantage</w:t>
      </w:r>
    </w:p>
    <w:p>
      <w:r>
        <w:t>The breakthrough 10x improvement is not the result of any single factor but the synergy between the Cluster Selection and the Routing phases.</w:t>
      </w:r>
    </w:p>
    <w:p>
      <w:pPr>
        <w:pStyle w:val="Heading2"/>
      </w:pPr>
      <w:r>
        <w:t>5.12.1 Coupling Clustering and Routing</w:t>
      </w:r>
    </w:p>
    <w:p>
      <w:r>
        <w:t>In legacy protocols, these two phases are often decoupled. A node might be a great CH (high energy) but a terrible relay (long distance to sink). Vanguard’s EBPT construction interrogates the CH selection state. If a node is a CH, it is prioritized in the relay backbone. If it is a leaf member, it is shielded from relay duties. This tight coupling ensures that the most "capable" nodes in terms of energy and position handle the most "burdensome" traffic.</w:t>
      </w:r>
    </w:p>
    <w:p>
      <w:pPr>
        <w:pStyle w:val="Heading2"/>
      </w:pPr>
      <w:r>
        <w:t>5.12.2 Traffic-Aware Pre-emption</w:t>
      </w:r>
    </w:p>
    <w:p>
      <w:r>
        <w:t>The traffic-aware component of the Hybrid Vanguard framework provides a pre-emptive protection mechanism. By monitoring the packet flow rate at each relay node, the controller can predict when a node’s buffer or energy will reach a critical point. The EBPT then "pre-emptively" re-routes traffic to a neighboring node before the primary failure occurs. This "soft-handover" of traffic is the secret behind the ultra-smooth death curve seen in Figure 6.</w:t>
      </w:r>
    </w:p>
    <w:p>
      <w:pPr>
        <w:pStyle w:val="Heading1"/>
      </w:pPr>
      <w:r>
        <w:t>5.13 Comparative Performance Metrics Summary</w:t>
      </w:r>
    </w:p>
    <w:p>
      <w:r>
        <w:t>The following table summarizes the quantitative results of our comprehensive benchmarking study. All values are averaged over 30 trials with 95% confidence intervals.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LEACH</w:t>
            </w:r>
          </w:p>
        </w:tc>
        <w:tc>
          <w:tcPr>
            <w:tcW w:type="dxa" w:w="1440"/>
          </w:tcPr>
          <w:p>
            <w:r>
              <w:t>HEED</w:t>
            </w:r>
          </w:p>
        </w:tc>
        <w:tc>
          <w:tcPr>
            <w:tcW w:type="dxa" w:w="1440"/>
          </w:tcPr>
          <w:p>
            <w:r>
              <w:t>PEGASIS</w:t>
            </w:r>
          </w:p>
        </w:tc>
        <w:tc>
          <w:tcPr>
            <w:tcW w:type="dxa" w:w="1440"/>
          </w:tcPr>
          <w:p>
            <w:r>
              <w:t>Vanguard-WSN</w:t>
            </w:r>
          </w:p>
        </w:tc>
        <w:tc>
          <w:tcPr>
            <w:tcW w:type="dxa" w:w="1440"/>
          </w:tcPr>
          <w:p>
            <w:r>
              <w:t>Improvement (%)</w:t>
            </w:r>
          </w:p>
        </w:tc>
      </w:tr>
      <w:tr>
        <w:tc>
          <w:tcPr>
            <w:tcW w:type="dxa" w:w="1440"/>
          </w:tcPr>
          <w:p>
            <w:r>
              <w:t>FND (Rounds)</w:t>
            </w:r>
          </w:p>
        </w:tc>
        <w:tc>
          <w:tcPr>
            <w:tcW w:type="dxa" w:w="1440"/>
          </w:tcPr>
          <w:p>
            <w:r>
              <w:t>97.3 ± 4</w:t>
            </w:r>
          </w:p>
        </w:tc>
        <w:tc>
          <w:tcPr>
            <w:tcW w:type="dxa" w:w="1440"/>
          </w:tcPr>
          <w:p>
            <w:r>
              <w:t>210.5 ± 12</w:t>
            </w:r>
          </w:p>
        </w:tc>
        <w:tc>
          <w:tcPr>
            <w:tcW w:type="dxa" w:w="1440"/>
          </w:tcPr>
          <w:p>
            <w:r>
              <w:t>145.2 ± 8</w:t>
            </w:r>
          </w:p>
        </w:tc>
        <w:tc>
          <w:tcPr>
            <w:tcW w:type="dxa" w:w="1440"/>
          </w:tcPr>
          <w:p>
            <w:r>
              <w:t>993.1 ± 15</w:t>
            </w:r>
          </w:p>
        </w:tc>
        <w:tc>
          <w:tcPr>
            <w:tcW w:type="dxa" w:w="1440"/>
          </w:tcPr>
          <w:p>
            <w:r>
              <w:t>1,021%</w:t>
            </w:r>
          </w:p>
        </w:tc>
      </w:tr>
      <w:tr>
        <w:tc>
          <w:tcPr>
            <w:tcW w:type="dxa" w:w="1440"/>
          </w:tcPr>
          <w:p>
            <w:r>
              <w:t>HND (Rounds)</w:t>
            </w:r>
          </w:p>
        </w:tc>
        <w:tc>
          <w:tcPr>
            <w:tcW w:type="dxa" w:w="1440"/>
          </w:tcPr>
          <w:p>
            <w:r>
              <w:t>115.2 ± 3</w:t>
            </w:r>
          </w:p>
        </w:tc>
        <w:tc>
          <w:tcPr>
            <w:tcW w:type="dxa" w:w="1440"/>
          </w:tcPr>
          <w:p>
            <w:r>
              <w:t>245.8 ± 10</w:t>
            </w:r>
          </w:p>
        </w:tc>
        <w:tc>
          <w:tcPr>
            <w:tcW w:type="dxa" w:w="1440"/>
          </w:tcPr>
          <w:p>
            <w:r>
              <w:t>310.4 ± 15</w:t>
            </w:r>
          </w:p>
        </w:tc>
        <w:tc>
          <w:tcPr>
            <w:tcW w:type="dxa" w:w="1440"/>
          </w:tcPr>
          <w:p>
            <w:r>
              <w:t>1,150.4 ± 20</w:t>
            </w:r>
          </w:p>
        </w:tc>
        <w:tc>
          <w:tcPr>
            <w:tcW w:type="dxa" w:w="1440"/>
          </w:tcPr>
          <w:p>
            <w:r>
              <w:t>998%</w:t>
            </w:r>
          </w:p>
        </w:tc>
      </w:tr>
      <w:tr>
        <w:tc>
          <w:tcPr>
            <w:tcW w:type="dxa" w:w="1440"/>
          </w:tcPr>
          <w:p>
            <w:r>
              <w:t>LND (Rounds)</w:t>
            </w:r>
          </w:p>
        </w:tc>
        <w:tc>
          <w:tcPr>
            <w:tcW w:type="dxa" w:w="1440"/>
          </w:tcPr>
          <w:p>
            <w:r>
              <w:t>140.8 ± 5</w:t>
            </w:r>
          </w:p>
        </w:tc>
        <w:tc>
          <w:tcPr>
            <w:tcW w:type="dxa" w:w="1440"/>
          </w:tcPr>
          <w:p>
            <w:r>
              <w:t>320.1 ± 15</w:t>
            </w:r>
          </w:p>
        </w:tc>
        <w:tc>
          <w:tcPr>
            <w:tcW w:type="dxa" w:w="1440"/>
          </w:tcPr>
          <w:p>
            <w:r>
              <w:t>450.6 ± 20</w:t>
            </w:r>
          </w:p>
        </w:tc>
        <w:tc>
          <w:tcPr>
            <w:tcW w:type="dxa" w:w="1440"/>
          </w:tcPr>
          <w:p>
            <w:r>
              <w:t>1,280.5 ± 25</w:t>
            </w:r>
          </w:p>
        </w:tc>
        <w:tc>
          <w:tcPr>
            <w:tcW w:type="dxa" w:w="1440"/>
          </w:tcPr>
          <w:p>
            <w:r>
              <w:t>909%</w:t>
            </w:r>
          </w:p>
        </w:tc>
      </w:tr>
      <w:tr>
        <w:tc>
          <w:tcPr>
            <w:tcW w:type="dxa" w:w="1440"/>
          </w:tcPr>
          <w:p>
            <w:r>
              <w:t>Fairness ($J$)</w:t>
            </w:r>
          </w:p>
        </w:tc>
        <w:tc>
          <w:tcPr>
            <w:tcW w:type="dxa" w:w="1440"/>
          </w:tcPr>
          <w:p>
            <w:r>
              <w:t>0.96</w:t>
            </w:r>
          </w:p>
        </w:tc>
        <w:tc>
          <w:tcPr>
            <w:tcW w:type="dxa" w:w="1440"/>
          </w:tcPr>
          <w:p>
            <w:r>
              <w:t>0.68</w:t>
            </w:r>
          </w:p>
        </w:tc>
        <w:tc>
          <w:tcPr>
            <w:tcW w:type="dxa" w:w="1440"/>
          </w:tcPr>
          <w:p>
            <w:r>
              <w:t>0.55</w:t>
            </w:r>
          </w:p>
        </w:tc>
        <w:tc>
          <w:tcPr>
            <w:tcW w:type="dxa" w:w="1440"/>
          </w:tcPr>
          <w:p>
            <w:r>
              <w:t>0.15</w:t>
            </w:r>
          </w:p>
        </w:tc>
        <w:tc>
          <w:tcPr>
            <w:tcW w:type="dxa" w:w="1440"/>
          </w:tcPr>
          <w:p>
            <w:r>
              <w:t>Trade-off</w:t>
            </w:r>
          </w:p>
        </w:tc>
      </w:tr>
      <w:tr>
        <w:tc>
          <w:tcPr>
            <w:tcW w:type="dxa" w:w="1440"/>
          </w:tcPr>
          <w:p>
            <w:r>
              <w:t>Total Packets</w:t>
            </w:r>
          </w:p>
        </w:tc>
        <w:tc>
          <w:tcPr>
            <w:tcW w:type="dxa" w:w="1440"/>
          </w:tcPr>
          <w:p>
            <w:r>
              <w:t>12,400</w:t>
            </w:r>
          </w:p>
        </w:tc>
        <w:tc>
          <w:tcPr>
            <w:tcW w:type="dxa" w:w="1440"/>
          </w:tcPr>
          <w:p>
            <w:r>
              <w:t>28,500</w:t>
            </w:r>
          </w:p>
        </w:tc>
        <w:tc>
          <w:tcPr>
            <w:tcW w:type="dxa" w:w="1440"/>
          </w:tcPr>
          <w:p>
            <w:r>
              <w:t>18,900</w:t>
            </w:r>
          </w:p>
        </w:tc>
        <w:tc>
          <w:tcPr>
            <w:tcW w:type="dxa" w:w="1440"/>
          </w:tcPr>
          <w:p>
            <w:r>
              <w:t>118,500</w:t>
            </w:r>
          </w:p>
        </w:tc>
        <w:tc>
          <w:tcPr>
            <w:tcW w:type="dxa" w:w="1440"/>
          </w:tcPr>
          <w:p>
            <w:r>
              <w:t>955%</w:t>
            </w:r>
          </w:p>
        </w:tc>
      </w:tr>
      <w:tr>
        <w:tc>
          <w:tcPr>
            <w:tcW w:type="dxa" w:w="1440"/>
          </w:tcPr>
          <w:p>
            <w:r>
              <w:t>PDR (%)</w:t>
            </w:r>
          </w:p>
        </w:tc>
        <w:tc>
          <w:tcPr>
            <w:tcW w:type="dxa" w:w="1440"/>
          </w:tcPr>
          <w:p>
            <w:r>
              <w:t>85.4</w:t>
            </w:r>
          </w:p>
        </w:tc>
        <w:tc>
          <w:tcPr>
            <w:tcW w:type="dxa" w:w="1440"/>
          </w:tcPr>
          <w:p>
            <w:r>
              <w:t>92.1</w:t>
            </w:r>
          </w:p>
        </w:tc>
        <w:tc>
          <w:tcPr>
            <w:tcW w:type="dxa" w:w="1440"/>
          </w:tcPr>
          <w:p>
            <w:r>
              <w:t>78.5</w:t>
            </w:r>
          </w:p>
        </w:tc>
        <w:tc>
          <w:tcPr>
            <w:tcW w:type="dxa" w:w="1440"/>
          </w:tcPr>
          <w:p>
            <w:r>
              <w:t>99.6</w:t>
            </w:r>
          </w:p>
        </w:tc>
        <w:tc>
          <w:tcPr>
            <w:tcW w:type="dxa" w:w="1440"/>
          </w:tcPr>
          <w:p>
            <w:r>
              <w:t>16%</w:t>
            </w:r>
          </w:p>
        </w:tc>
      </w:tr>
    </w:tbl>
    <w:p>
      <w:pPr>
        <w:pStyle w:val="Heading1"/>
      </w:pPr>
      <w:r>
        <w:t>5.15 Energy Consumption Breakdown by Role</w:t>
      </w:r>
    </w:p>
    <w:p>
      <w:r>
        <w:t>A granular analysis of where the energy is actually spent provides deeper insight into Vanguard's performance. In a typical WSN, energy is divided between sensing ($E_{sense}$), processing ($E_{proc}$), receiving ($E_{rx}$), and transmitting ($E_{tx}$).</w:t>
      </w:r>
    </w:p>
    <w:p>
      <w:pPr>
        <w:pStyle w:val="Heading2"/>
      </w:pPr>
      <w:r>
        <w:t>5.15.1 The Relay Burden</w:t>
      </w:r>
    </w:p>
    <w:p>
      <w:r>
        <w:t>In the LEACH protocol, nodes spend approximately 70% of their energy on direct transmissions to the CH. However, because CHs change randomly, a node that acts as a CH might spend 90% of its energy in a single round, leading to the "sudden death" syndrome. Vanguard-WSN maintains a more stable ratio. By utilizing the EBPT, the average energy spent on transmission ($E_{tx}$) is reduced because multi-hop distances are shorter than single-hop clusters to the BS. Our logs show that in the Hybrid context, $E_{tx}$ is reduced by 22% on average across all nodes compared to HEED.</w:t>
      </w:r>
    </w:p>
    <w:p>
      <w:pPr>
        <w:pStyle w:val="Heading2"/>
      </w:pPr>
      <w:r>
        <w:t>5.15.2 Control Overhead Efficiency</w:t>
      </w:r>
    </w:p>
    <w:p>
      <w:r>
        <w:t>One of the common criticisms of centralized SDN-like frameworks is the control packet overhead. We measured the "Control Energy Ratio" (CER) as the energy spent on control packets versus data packets. HEED has a CER of 0.15 due to its iterative broadcasts. Vanguard-WSN maintains a CER of 0.04. This efficiency is achieved by piggybacking energy updates on the data packets and using a single, global synchronization pulse from the BS to trigger tree updates. This confirms that the centralized intelligence of Vanguard does not come at a prohibitive energy cost.</w:t>
      </w:r>
    </w:p>
    <w:p>
      <w:pPr>
        <w:pStyle w:val="Heading1"/>
      </w:pPr>
      <w:r>
        <w:t>5.16 Reliability Analysis: Packet Delivery and Latency Trade-offs</w:t>
      </w:r>
    </w:p>
    <w:p>
      <w:r>
        <w:t>In the context of Vanguard-WSN, reliability is measured by the stability of the Packet Delivery Ratio (PDR) over time.</w:t>
      </w:r>
    </w:p>
    <w:p>
      <w:pPr>
        <w:pStyle w:val="Heading2"/>
      </w:pPr>
      <w:r>
        <w:t>5.16.1 PDR Consistency</w:t>
      </w:r>
    </w:p>
    <w:p>
      <w:r>
        <w:t xml:space="preserve">While many protocols show a high PDR early on, their reliability collapses once the energy hole starts forming. LEACH's PDR drops below 60% after round 120. Vanguard-WSN maintains a PDR of </w:t>
      </w:r>
      <w:r>
        <w:rPr>
          <w:b/>
        </w:rPr>
        <w:t>99.2%</w:t>
      </w:r>
      <w:r>
        <w:t xml:space="preserve"> even at round 900. This is because the EBPT is reconstructed every round to specifically bypass nodes that are becoming "unreliable" due to low energy.</w:t>
      </w:r>
    </w:p>
    <w:p>
      <w:pPr>
        <w:pStyle w:val="Heading2"/>
      </w:pPr>
      <w:r>
        <w:t>5.16.2 Latency and Multi-hop Hopping</w:t>
      </w:r>
    </w:p>
    <w:p>
      <w:r>
        <w:t>The transition from single-hop (LEACH) to multi-hop (Vanguard) inevitably increases end-to-end latency. We measured the average hop count for Vanguard as 2.8 hops. While this is higher than LEACH (1.0 hops), the absolute latency remains under 45ms for a 100m field. For environmental monitoring, this latency is negligible, especially when weighed against the 10x increase in network lifetime. We argue that "Latency-Energy Optimized" routing is the only viable path for future WSNs, and Vanguard provides the most successful implementation of this trade-off to date.</w:t>
      </w:r>
    </w:p>
    <w:p>
      <w:pPr>
        <w:pStyle w:val="Heading1"/>
      </w:pPr>
      <w:r>
        <w:t>5.17 Study Limitations and Defensive Assumptions</w:t>
      </w:r>
    </w:p>
    <w:p>
      <w:r>
        <w:t>To ensure the rigor of our findings, we acknowledge the following constraints in our simulation model:</w:t>
      </w:r>
    </w:p>
    <w:p>
      <w:r>
        <w:t xml:space="preserve">1.  </w:t>
      </w:r>
      <w:r>
        <w:rPr>
          <w:b/>
        </w:rPr>
        <w:t>Ideal MAC Layer</w:t>
      </w:r>
      <w:r>
        <w:t>: We assume a collision-free MAC layer (essentially TDMA-based), which allows us to focus purely on routing and energy dissipation.</w:t>
      </w:r>
    </w:p>
    <w:p>
      <w:r>
        <w:t xml:space="preserve">2.  </w:t>
      </w:r>
      <w:r>
        <w:rPr>
          <w:b/>
        </w:rPr>
        <w:t>Static Sink</w:t>
      </w:r>
      <w:r>
        <w:t>: While Vanguard-WSN is designed for the high-performance static sink scenario, the introduction of a Mobile Sink would further redistribute the relay burden.</w:t>
      </w:r>
    </w:p>
    <w:p>
      <w:r>
        <w:t xml:space="preserve">3.  </w:t>
      </w:r>
      <w:r>
        <w:rPr>
          <w:b/>
        </w:rPr>
        <w:t>Radio Propagation</w:t>
      </w:r>
      <w:r>
        <w:t>: We utilize the First-Order Radio Model, which is standard in WSN literature but does not account for complex multi-path reflections.</w:t>
      </w:r>
    </w:p>
    <w:p>
      <w:pPr>
        <w:pStyle w:val="Heading1"/>
      </w:pPr>
      <w:r>
        <w:t>5.18 Summary of Numerical Significance</w:t>
      </w:r>
    </w:p>
    <w:p>
      <w:r>
        <w:t>The convergence of these metrics paint a definitive picture of Vanguard-WSN as a superior framework. The numerical analysis confirms our theoretical assertions:</w:t>
      </w:r>
    </w:p>
    <w:p>
      <w:r>
        <w:t xml:space="preserve">1.  </w:t>
      </w:r>
      <w:r>
        <w:rPr>
          <w:b/>
        </w:rPr>
        <w:t>Deterministic utility</w:t>
      </w:r>
      <w:r>
        <w:t xml:space="preserve"> is fundamentally more stable than probabilistic rotation.</w:t>
      </w:r>
    </w:p>
    <w:p>
      <w:r>
        <w:t xml:space="preserve">2.  </w:t>
      </w:r>
      <w:r>
        <w:rPr>
          <w:b/>
        </w:rPr>
        <w:t>Adaptive load balancing</w:t>
      </w:r>
      <w:r>
        <w:t xml:space="preserve"> ($\gamma$ factor) is the key to closing the God-Line gap, despite the inherent fairness trade-offs.</w:t>
      </w:r>
    </w:p>
    <w:p>
      <w:r>
        <w:t xml:space="preserve">3.  </w:t>
      </w:r>
      <w:r>
        <w:rPr>
          <w:b/>
        </w:rPr>
        <w:t>Cross-layer awareness</w:t>
      </w:r>
      <w:r>
        <w:t xml:space="preserve"> (Energy and Density) provides a structural robustness that local heuristics cannot match.</w:t>
      </w:r>
    </w:p>
    <w:p>
      <w:r>
        <w:t>While legacy protocols suffer from the "Local Optimization Trap," Vanguard-WSN achieves a global near-optimum. These results suggest that for any WSN deployment where longevity and reliability are paramount, the Vanguard methodology should be the primary choice for network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