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B5C8A"/>
          <w:sz w:val="40"/>
        </w:rPr>
        <w:t>SAP BTP Project: Milestone Report</w:t>
      </w:r>
    </w:p>
    <w:p>
      <w:pPr>
        <w:jc w:val="center"/>
      </w:pPr>
      <w:r>
        <w:rPr>
          <w:color w:val="666666"/>
          <w:sz w:val="18"/>
        </w:rPr>
        <w:t>Saarland University  ·  Data Analysis on the SAP Business Technology Platform  ·  Summer Semester 2026</w:t>
      </w:r>
    </w:p>
    <w:tbl>
      <w:tblPr>
        <w:tblStyle w:val="LightList-Accent1"/>
        <w:tblW w:type="auto" w:w="0"/>
        <w:tblLook w:firstColumn="1" w:firstRow="1" w:lastColumn="0" w:lastRow="0" w:noHBand="0" w:noVBand="1" w:val="04A0"/>
      </w:tblPr>
      <w:tblGrid>
        <w:gridCol w:w="4320"/>
        <w:gridCol w:w="4320"/>
      </w:tblGrid>
      <w:tr>
        <w:tc>
          <w:tcPr>
            <w:tcW w:type="dxa" w:w="4320"/>
          </w:tcPr>
          <w:p>
            <w:r>
              <w:rPr>
                <w:b/>
              </w:rPr>
              <w:t>Project Theme</w:t>
            </w:r>
          </w:p>
        </w:tc>
        <w:tc>
          <w:tcPr>
            <w:tcW w:type="dxa" w:w="4320"/>
          </w:tcPr>
          <w:p>
            <w:r>
              <w:t>Retail &amp; Inventory: Global Electronics Sales Analytics</w:t>
            </w:r>
          </w:p>
        </w:tc>
      </w:tr>
      <w:tr>
        <w:tc>
          <w:tcPr>
            <w:tcW w:type="dxa" w:w="4320"/>
          </w:tcPr>
          <w:p>
            <w:r>
              <w:rPr>
                <w:b/>
              </w:rPr>
              <w:t>Milestone</w:t>
            </w:r>
          </w:p>
        </w:tc>
        <w:tc>
          <w:tcPr>
            <w:tcW w:type="dxa" w:w="4320"/>
          </w:tcPr>
          <w:p>
            <w:r>
              <w:t>End-term (17.07.2026)</w:t>
            </w:r>
          </w:p>
        </w:tc>
      </w:tr>
      <w:tr>
        <w:tc>
          <w:tcPr>
            <w:tcW w:type="dxa" w:w="4320"/>
          </w:tcPr>
          <w:p>
            <w:r>
              <w:rPr>
                <w:b/>
              </w:rPr>
              <w:t>Group Members</w:t>
            </w:r>
          </w:p>
        </w:tc>
        <w:tc>
          <w:tcPr>
            <w:tcW w:type="dxa" w:w="4320"/>
          </w:tcPr>
          <w:p>
            <w:r>
              <w:t>Deepika Naresh Gambani, Monica Pei, Yuyang Pei  [verify / complete]</w:t>
            </w:r>
          </w:p>
        </w:tc>
      </w:tr>
      <w:tr>
        <w:tc>
          <w:tcPr>
            <w:tcW w:type="dxa" w:w="4320"/>
          </w:tcPr>
          <w:p>
            <w:r>
              <w:rPr>
                <w:b/>
              </w:rPr>
              <w:t>GitHub Repository URL</w:t>
            </w:r>
          </w:p>
        </w:tc>
        <w:tc>
          <w:tcPr>
            <w:tcW w:type="dxa" w:w="4320"/>
          </w:tcPr>
          <w:p>
            <w:r>
              <w:t>https://github.com/DeepikaNareshGambani/retail-analytics</w:t>
            </w:r>
          </w:p>
        </w:tc>
      </w:tr>
      <w:tr>
        <w:tc>
          <w:tcPr>
            <w:tcW w:type="dxa" w:w="4320"/>
          </w:tcPr>
          <w:p>
            <w:r>
              <w:rPr>
                <w:b/>
              </w:rPr>
              <w:t>Deployed App URL</w:t>
            </w:r>
          </w:p>
        </w:tc>
        <w:tc>
          <w:tcPr>
            <w:tcW w:type="dxa" w:w="4320"/>
          </w:tcPr>
          <w:p>
            <w:r>
              <w:t>https://btplearning-btpailearning-student5-retail-analytics.cfapps.us10.hana.ondemand.com</w:t>
            </w:r>
          </w:p>
        </w:tc>
      </w:tr>
    </w:tbl>
    <w:p/>
    <w:p>
      <w:pPr>
        <w:pStyle w:val="Heading1"/>
      </w:pPr>
      <w:r>
        <w:rPr>
          <w:color w:val="2B5C8A"/>
        </w:rPr>
        <w:t>0. Mandatory Technical Stack Compliance Checklist</w:t>
      </w:r>
    </w:p>
    <w:p>
      <w:pPr>
        <w:pStyle w:val="ListBullet"/>
      </w:pPr>
      <w:r>
        <w:rPr>
          <w:b/>
          <w:color w:val="2B5C8A"/>
        </w:rPr>
        <w:t xml:space="preserve">[X] </w:t>
      </w:r>
      <w:r>
        <w:rPr>
          <w:b/>
        </w:rPr>
        <w:t xml:space="preserve">UI Framework Alignment &amp; Justification: </w:t>
      </w:r>
      <w:r>
        <w:t>Native SAP Fiori Elements floorplans were prioritized throughout — Analytical List Page (Task 1 and the three Task 2 classification apps), multi-view List Report (Task 3), and an Object Page KPI dashboard (Task 4). One early freestyle UI5 app remains in the repository but was superseded by native FE apps and is deliberately excluded from the launchpad; the full justification is in Section 5.</w:t>
      </w:r>
    </w:p>
    <w:p>
      <w:pPr>
        <w:pStyle w:val="ListBullet"/>
      </w:pPr>
      <w:r>
        <w:rPr>
          <w:b/>
          <w:color w:val="2B5C8A"/>
        </w:rPr>
        <w:t xml:space="preserve">[X] </w:t>
      </w:r>
      <w:r>
        <w:rPr>
          <w:b/>
        </w:rPr>
        <w:t xml:space="preserve">Core SAP Components &amp; Annotations: </w:t>
      </w:r>
      <w:r>
        <w:t>All UI is driven by native OData V4 services and standard UI annotations — UI.Chart, UI.LineItem, UI.SelectionFields, UI.DataPoint/HeaderFacets/Facets, SelectionPresentationVariant, and the OData Aggregation vocabulary (ApplySupported, CustomAggregate, @Aggregation.default, @Analytics).</w:t>
      </w:r>
    </w:p>
    <w:p>
      <w:pPr>
        <w:pStyle w:val="ListBullet"/>
      </w:pPr>
      <w:r>
        <w:rPr>
          <w:b/>
          <w:color w:val="2B5C8A"/>
        </w:rPr>
        <w:t xml:space="preserve">[X] </w:t>
      </w:r>
      <w:r>
        <w:rPr>
          <w:b/>
        </w:rPr>
        <w:t xml:space="preserve">Backend Architecture: </w:t>
      </w:r>
      <w:r>
        <w:t>Built on the native SAP Cloud Application Programming Model (CAP) using Node.js/JavaScript, with six OData V4 services (/analytics, /insights, /classification, /association, /ai, /admin).</w:t>
      </w:r>
    </w:p>
    <w:p>
      <w:pPr>
        <w:pStyle w:val="ListBullet"/>
      </w:pPr>
      <w:r>
        <w:rPr>
          <w:b/>
          <w:color w:val="2B5C8A"/>
        </w:rPr>
        <w:t xml:space="preserve">[X] </w:t>
      </w:r>
      <w:r>
        <w:rPr>
          <w:b/>
        </w:rPr>
        <w:t xml:space="preserve">Git Evidence: </w:t>
      </w:r>
      <w:r>
        <w:t>The GitHub repository is operational with a production branching strategy (main + per-member feature branches, fast-forward merges to main) and active commit histories from every group member.</w:t>
      </w:r>
    </w:p>
    <w:p>
      <w:pPr>
        <w:pStyle w:val="Heading1"/>
      </w:pPr>
      <w:r>
        <w:rPr>
          <w:color w:val="2B5C8A"/>
        </w:rPr>
        <w:t>1. Final Executive Summary</w:t>
      </w:r>
    </w:p>
    <w:p>
      <w:pPr>
        <w:spacing w:after="80"/>
      </w:pPr>
      <w:r>
        <w:rPr>
          <w:b w:val="0"/>
          <w:i/>
          <w:color w:val="666666"/>
          <w:sz w:val="18"/>
        </w:rPr>
        <w:t>Max 200 words.</w:t>
      </w:r>
    </w:p>
    <w:p>
      <w:pPr>
        <w:spacing w:after="80"/>
      </w:pPr>
      <w:r>
        <w:rPr>
          <w:b w:val="0"/>
          <w:i w:val="0"/>
        </w:rPr>
        <w:t>This project delivers a production-grade Global Electronics Sales Analytics suite on SAP BTP, built entirely on CAP (Node.js) with native Fiori Elements over OData V4 and deployed to Cloud Foundry as a multi-target application (HANA, XSUAA, approuter) behind a unified Fiori Launchpad. All four tasks are operational: KPI visualization (ALP), customer/product/store classification (three ALPs plus an 11-segment RFM persona model), association analytics, and an AI layer. The AI tier (Explanation Bot + SAP-RPT-1) turns a compact, USD-normalized KPI snapshot into grounded natural-language answers and a board-ready PDF review; a provider abstraction (Generative AI Hub → OpenAI-compatible → deterministic grounded fallback) keeps every feature functional and hallucination-resistant, verified by a 19-check grounding evaluation. The most critical actionable insight from the final audit: profitability is structurally uniform — gross margin sits at ~58.6% across all eight markets — so profit tracks product mix and volume, not geography or currency. Meanwhile store floor area explains only 36% of revenue variance (Pearson r = 0.60) and electronics demand is highly price-inelastic (|e| ≈ 0.1–0.2). Growth therefore comes from mix, pricing power, and location quality — not from expanding store footprint.</w:t>
      </w:r>
    </w:p>
    <w:p>
      <w:pPr>
        <w:pStyle w:val="ListBullet"/>
      </w:pPr>
      <w:r>
        <w:rPr>
          <w:b/>
        </w:rPr>
        <w:t xml:space="preserve">Project Completion: </w:t>
      </w:r>
      <w:r>
        <w:t>production-grade CAP + Fiori Elements suite; all four tasks live; MTA deployed to Cloud Foundry.</w:t>
      </w:r>
    </w:p>
    <w:p>
      <w:pPr>
        <w:pStyle w:val="ListBullet"/>
      </w:pPr>
      <w:r>
        <w:rPr>
          <w:b/>
        </w:rPr>
        <w:t xml:space="preserve">AI Impact: </w:t>
      </w:r>
      <w:r>
        <w:t>the Bot+RPT-1 tier converts structured KPIs into grounded explanations and an executive PDF, making the analytics decision-ready rather than chart-bound.</w:t>
      </w:r>
    </w:p>
    <w:p>
      <w:pPr>
        <w:pStyle w:val="ListBullet"/>
      </w:pPr>
      <w:r>
        <w:rPr>
          <w:b/>
        </w:rPr>
        <w:t xml:space="preserve">Final Insight: </w:t>
      </w:r>
      <w:r>
        <w:t>uniform ~58.6% margins + weak store-size correlation (r=0.60) + inelastic demand =&gt; grow via mix/pricing/location quality, not footprint.</w:t>
      </w:r>
    </w:p>
    <w:p>
      <w:pPr>
        <w:pStyle w:val="Heading1"/>
      </w:pPr>
      <w:r>
        <w:rPr>
          <w:color w:val="2B5C8A"/>
        </w:rPr>
        <w:t>2. Advanced Analytical Findings (Task 3)</w:t>
      </w:r>
    </w:p>
    <w:p>
      <w:pPr>
        <w:spacing w:after="80"/>
      </w:pPr>
      <w:r>
        <w:rPr>
          <w:b w:val="0"/>
          <w:i w:val="0"/>
        </w:rPr>
        <w:t>Three association analyses were computed in CAP over line-grain sales joined to customer demographics, product pricing, and store attributes, then materialized into HANA tables so Fiori Elements can aggregate and count them.</w:t>
      </w:r>
    </w:p>
    <w:p>
      <w:pPr>
        <w:spacing w:after="80"/>
      </w:pPr>
      <w:r>
        <w:rPr>
          <w:b/>
          <w:i w:val="0"/>
        </w:rPr>
        <w:t>2.1  Store Size vs. Revenue — does bigger mean more?</w:t>
      </w:r>
    </w:p>
    <w:tbl>
      <w:tblPr>
        <w:tblStyle w:val="LightGrid-Accent1"/>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Pearson correlation (r)</w:t>
            </w:r>
          </w:p>
        </w:tc>
        <w:tc>
          <w:tcPr>
            <w:tcW w:type="dxa" w:w="4320"/>
          </w:tcPr>
          <w:p>
            <w:r>
              <w:t>0.602</w:t>
            </w:r>
          </w:p>
        </w:tc>
      </w:tr>
      <w:tr>
        <w:tc>
          <w:tcPr>
            <w:tcW w:type="dxa" w:w="4320"/>
          </w:tcPr>
          <w:p>
            <w:r>
              <w:t>Coefficient of determination (R²)</w:t>
            </w:r>
          </w:p>
        </w:tc>
        <w:tc>
          <w:tcPr>
            <w:tcW w:type="dxa" w:w="4320"/>
          </w:tcPr>
          <w:p>
            <w:r>
              <w:t>0.363</w:t>
            </w:r>
          </w:p>
        </w:tc>
      </w:tr>
      <w:tr>
        <w:tc>
          <w:tcPr>
            <w:tcW w:type="dxa" w:w="4320"/>
          </w:tcPr>
          <w:p>
            <w:r>
              <w:t>Physical stores analysed</w:t>
            </w:r>
          </w:p>
        </w:tc>
        <w:tc>
          <w:tcPr>
            <w:tcW w:type="dxa" w:w="4320"/>
          </w:tcPr>
          <w:p>
            <w:r>
              <w:t>57</w:t>
            </w:r>
          </w:p>
        </w:tc>
      </w:tr>
      <w:tr>
        <w:tc>
          <w:tcPr>
            <w:tcW w:type="dxa" w:w="4320"/>
          </w:tcPr>
          <w:p>
            <w:r>
              <w:t>Verdict</w:t>
            </w:r>
          </w:p>
        </w:tc>
        <w:tc>
          <w:tcPr>
            <w:tcW w:type="dxa" w:w="4320"/>
          </w:tcPr>
          <w:p>
            <w:r>
              <w:t>Moderate, weak — assumption only broadly holds</w:t>
            </w:r>
          </w:p>
        </w:tc>
      </w:tr>
    </w:tbl>
    <w:p>
      <w:pPr>
        <w:spacing w:after="40"/>
      </w:pPr>
    </w:p>
    <w:p>
      <w:pPr>
        <w:pStyle w:val="ListBullet"/>
      </w:pPr>
      <w:r>
        <w:rPr>
          <w:b/>
        </w:rPr>
        <w:t xml:space="preserve">Interpretation: </w:t>
      </w:r>
      <w:r>
        <w:t>Floor area explains only ~36% of the variation in store revenue. Bigger stores tend to earn more, but size is a weak, unreliable predictor — the other ~64% is driven by location catchment, foot traffic, and assortment.</w:t>
      </w:r>
    </w:p>
    <w:p>
      <w:pPr>
        <w:spacing w:after="80"/>
      </w:pPr>
      <w:r>
        <w:rPr>
          <w:b/>
          <w:i w:val="0"/>
        </w:rPr>
        <w:t>2.2  Price Elasticity of Demand</w:t>
      </w:r>
    </w:p>
    <w:p>
      <w:pPr>
        <w:spacing w:after="80"/>
      </w:pPr>
      <w:r>
        <w:rPr>
          <w:b w:val="0"/>
          <w:i w:val="0"/>
        </w:rPr>
        <w:t>Log-log regression of quantity on price across price bands per subcategory (bands beat per-product for a meaningful R²).</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Subcategory</w:t>
            </w:r>
          </w:p>
        </w:tc>
        <w:tc>
          <w:tcPr>
            <w:tcW w:type="dxa" w:w="2160"/>
          </w:tcPr>
          <w:p>
            <w:r>
              <w:rPr>
                <w:b/>
              </w:rPr>
              <w:t>Elasticity (e)</w:t>
            </w:r>
          </w:p>
        </w:tc>
        <w:tc>
          <w:tcPr>
            <w:tcW w:type="dxa" w:w="2160"/>
          </w:tcPr>
          <w:p>
            <w:r>
              <w:rPr>
                <w:b/>
              </w:rPr>
              <w:t>R²</w:t>
            </w:r>
          </w:p>
        </w:tc>
        <w:tc>
          <w:tcPr>
            <w:tcW w:type="dxa" w:w="2160"/>
          </w:tcPr>
          <w:p>
            <w:r>
              <w:rPr>
                <w:b/>
              </w:rPr>
              <w:t>Reading</w:t>
            </w:r>
          </w:p>
        </w:tc>
      </w:tr>
      <w:tr>
        <w:tc>
          <w:tcPr>
            <w:tcW w:type="dxa" w:w="2160"/>
          </w:tcPr>
          <w:p>
            <w:r>
              <w:t>Laptops</w:t>
            </w:r>
          </w:p>
        </w:tc>
        <w:tc>
          <w:tcPr>
            <w:tcW w:type="dxa" w:w="2160"/>
          </w:tcPr>
          <w:p>
            <w:r>
              <w:t>-0.14</w:t>
            </w:r>
          </w:p>
        </w:tc>
        <w:tc>
          <w:tcPr>
            <w:tcW w:type="dxa" w:w="2160"/>
          </w:tcPr>
          <w:p>
            <w:r>
              <w:t>0.83</w:t>
            </w:r>
          </w:p>
        </w:tc>
        <w:tc>
          <w:tcPr>
            <w:tcW w:type="dxa" w:w="2160"/>
          </w:tcPr>
          <w:p>
            <w:r>
              <w:t>Highly inelastic</w:t>
            </w:r>
          </w:p>
        </w:tc>
      </w:tr>
      <w:tr>
        <w:tc>
          <w:tcPr>
            <w:tcW w:type="dxa" w:w="2160"/>
          </w:tcPr>
          <w:p>
            <w:r>
              <w:t>Smartphones</w:t>
            </w:r>
          </w:p>
        </w:tc>
        <w:tc>
          <w:tcPr>
            <w:tcW w:type="dxa" w:w="2160"/>
          </w:tcPr>
          <w:p>
            <w:r>
              <w:t>-0.12</w:t>
            </w:r>
          </w:p>
        </w:tc>
        <w:tc>
          <w:tcPr>
            <w:tcW w:type="dxa" w:w="2160"/>
          </w:tcPr>
          <w:p>
            <w:r>
              <w:t>0.84</w:t>
            </w:r>
          </w:p>
        </w:tc>
        <w:tc>
          <w:tcPr>
            <w:tcW w:type="dxa" w:w="2160"/>
          </w:tcPr>
          <w:p>
            <w:r>
              <w:t>Highly inelastic</w:t>
            </w:r>
          </w:p>
        </w:tc>
      </w:tr>
    </w:tbl>
    <w:p>
      <w:pPr>
        <w:spacing w:after="40"/>
      </w:pPr>
    </w:p>
    <w:p>
      <w:pPr>
        <w:pStyle w:val="ListBullet"/>
      </w:pPr>
      <w:r>
        <w:rPr>
          <w:b/>
        </w:rPr>
        <w:t xml:space="preserve">Interpretation: </w:t>
      </w:r>
      <w:r>
        <w:t>|e| well below 1 means demand barely moves with price — electronics here are needs-/feature-driven purchases. There is pricing power and margin headroom; modest price increases will not materially depress volume.</w:t>
      </w:r>
    </w:p>
    <w:p>
      <w:pPr>
        <w:spacing w:after="80"/>
      </w:pPr>
      <w:r>
        <w:rPr>
          <w:b/>
          <w:i w:val="0"/>
        </w:rPr>
        <w:t>2.3  Demographic Affinity (age × gender × category)</w:t>
      </w:r>
    </w:p>
    <w:p>
      <w:pPr>
        <w:spacing w:after="80"/>
      </w:pPr>
      <w:r>
        <w:rPr>
          <w:b w:val="0"/>
          <w:i w:val="0"/>
        </w:rPr>
        <w:t>Affinity index = a segment's share of a category ÷ that category's overall share × 100. Index &gt; 100 = over-indexing.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Segment</w:t>
            </w:r>
          </w:p>
        </w:tc>
        <w:tc>
          <w:tcPr>
            <w:tcW w:type="dxa" w:w="2880"/>
          </w:tcPr>
          <w:p>
            <w:r>
              <w:rPr>
                <w:b/>
              </w:rPr>
              <w:t>Category</w:t>
            </w:r>
          </w:p>
        </w:tc>
        <w:tc>
          <w:tcPr>
            <w:tcW w:type="dxa" w:w="2880"/>
          </w:tcPr>
          <w:p>
            <w:r>
              <w:rPr>
                <w:b/>
              </w:rPr>
              <w:t>Affinity</w:t>
            </w:r>
          </w:p>
        </w:tc>
      </w:tr>
      <w:tr>
        <w:tc>
          <w:tcPr>
            <w:tcW w:type="dxa" w:w="2880"/>
          </w:tcPr>
          <w:p>
            <w:r>
              <w:t>30–44 Male</w:t>
            </w:r>
          </w:p>
        </w:tc>
        <w:tc>
          <w:tcPr>
            <w:tcW w:type="dxa" w:w="2880"/>
          </w:tcPr>
          <w:p>
            <w:r>
              <w:t>Games and Toys</w:t>
            </w:r>
          </w:p>
        </w:tc>
        <w:tc>
          <w:tcPr>
            <w:tcW w:type="dxa" w:w="2880"/>
          </w:tcPr>
          <w:p>
            <w:r>
              <w:t>113</w:t>
            </w:r>
          </w:p>
        </w:tc>
      </w:tr>
      <w:tr>
        <w:tc>
          <w:tcPr>
            <w:tcW w:type="dxa" w:w="2880"/>
          </w:tcPr>
          <w:p>
            <w:r>
              <w:t>Under 30 Male</w:t>
            </w:r>
          </w:p>
        </w:tc>
        <w:tc>
          <w:tcPr>
            <w:tcW w:type="dxa" w:w="2880"/>
          </w:tcPr>
          <w:p>
            <w:r>
              <w:t>Cell phones</w:t>
            </w:r>
          </w:p>
        </w:tc>
        <w:tc>
          <w:tcPr>
            <w:tcW w:type="dxa" w:w="2880"/>
          </w:tcPr>
          <w:p>
            <w:r>
              <w:t>112</w:t>
            </w:r>
          </w:p>
        </w:tc>
      </w:tr>
      <w:tr>
        <w:tc>
          <w:tcPr>
            <w:tcW w:type="dxa" w:w="2880"/>
          </w:tcPr>
          <w:p>
            <w:r>
              <w:t>30–44 Female</w:t>
            </w:r>
          </w:p>
        </w:tc>
        <w:tc>
          <w:tcPr>
            <w:tcW w:type="dxa" w:w="2880"/>
          </w:tcPr>
          <w:p>
            <w:r>
              <w:t>TV and Video</w:t>
            </w:r>
          </w:p>
        </w:tc>
        <w:tc>
          <w:tcPr>
            <w:tcW w:type="dxa" w:w="2880"/>
          </w:tcPr>
          <w:p>
            <w:r>
              <w:t>111</w:t>
            </w:r>
          </w:p>
        </w:tc>
      </w:tr>
      <w:tr>
        <w:tc>
          <w:tcPr>
            <w:tcW w:type="dxa" w:w="2880"/>
          </w:tcPr>
          <w:p>
            <w:r>
              <w:t>Under 30 Male</w:t>
            </w:r>
          </w:p>
        </w:tc>
        <w:tc>
          <w:tcPr>
            <w:tcW w:type="dxa" w:w="2880"/>
          </w:tcPr>
          <w:p>
            <w:r>
              <w:t>Cameras and camcorders</w:t>
            </w:r>
          </w:p>
        </w:tc>
        <w:tc>
          <w:tcPr>
            <w:tcW w:type="dxa" w:w="2880"/>
          </w:tcPr>
          <w:p>
            <w:r>
              <w:t>109</w:t>
            </w:r>
          </w:p>
        </w:tc>
      </w:tr>
      <w:tr>
        <w:tc>
          <w:tcPr>
            <w:tcW w:type="dxa" w:w="2880"/>
          </w:tcPr>
          <w:p>
            <w:r>
              <w:t>45–59 Female</w:t>
            </w:r>
          </w:p>
        </w:tc>
        <w:tc>
          <w:tcPr>
            <w:tcW w:type="dxa" w:w="2880"/>
          </w:tcPr>
          <w:p>
            <w:r>
              <w:t>Music, Movies &amp; Audio Books</w:t>
            </w:r>
          </w:p>
        </w:tc>
        <w:tc>
          <w:tcPr>
            <w:tcW w:type="dxa" w:w="2880"/>
          </w:tcPr>
          <w:p>
            <w:r>
              <w:t>109</w:t>
            </w:r>
          </w:p>
        </w:tc>
      </w:tr>
    </w:tbl>
    <w:p>
      <w:pPr>
        <w:spacing w:after="40"/>
      </w:pPr>
    </w:p>
    <w:p>
      <w:pPr>
        <w:pStyle w:val="ListBullet"/>
      </w:pPr>
      <w:r>
        <w:rPr>
          <w:b/>
        </w:rPr>
        <w:t xml:space="preserve">Interpretation: </w:t>
      </w:r>
      <w:r>
        <w:t>Skews are real but mild (peaks ~108–113), so the customer base is broadly homogeneous in taste. Targeted campaigns yield incremental, not dramatic, lift — a mass-market assortment remains correct, with light personalization at the margins.</w:t>
      </w:r>
    </w:p>
    <w:p>
      <w:pPr>
        <w:spacing w:after="80"/>
      </w:pPr>
      <w:r>
        <w:rPr>
          <w:b/>
          <w:i w:val="0"/>
        </w:rPr>
        <w:t>Hypothesis</w:t>
      </w:r>
    </w:p>
    <w:p>
      <w:pPr>
        <w:pStyle w:val="ListBullet"/>
      </w:pPr>
      <w:r>
        <w:t>Uniform margins across markets reflect centralized global procurement and a consistent product mix, so currency- and geography-driven margin erosion is absent (all figures are USD-normalized).</w:t>
      </w:r>
    </w:p>
    <w:p>
      <w:pPr>
        <w:pStyle w:val="ListBullet"/>
      </w:pPr>
      <w:r>
        <w:t>Inelastic demand fits consumer electronics as feature/necessity goods with brand lock-in and few substitutes — buyers choose on specification, not price.</w:t>
      </w:r>
    </w:p>
    <w:p>
      <w:pPr>
        <w:pStyle w:val="ListBullet"/>
      </w:pPr>
      <w:r>
        <w:t>The weak size–revenue link suggests revenue is set by catchment quality and traffic, not square metres: a small store in a premium, high-footfall location can out-earn a large one in a weak catchment.</w:t>
      </w:r>
    </w:p>
    <w:p>
      <w:pPr>
        <w:pStyle w:val="Heading1"/>
      </w:pPr>
      <w:r>
        <w:rPr>
          <w:color w:val="2B5C8A"/>
        </w:rPr>
        <w:t>3. AI Strategy &amp; Integration (Task 4)</w:t>
      </w:r>
    </w:p>
    <w:p>
      <w:pPr>
        <w:spacing w:after="80"/>
      </w:pPr>
      <w:r>
        <w:rPr>
          <w:b w:val="0"/>
          <w:i w:val="0"/>
        </w:rPr>
        <w:t>Assigned tier: Explanation Bot + SAP-RPT-1 (Low/Medium). The AI is grounded in a single, deterministic context object shared by every feature.</w:t>
      </w:r>
    </w:p>
    <w:p>
      <w:pPr>
        <w:spacing w:after="80"/>
      </w:pPr>
      <w:r>
        <w:rPr>
          <w:b/>
          <w:i w:val="0"/>
        </w:rPr>
        <w:t>Prompt Engineering &amp; Context Window</w:t>
      </w:r>
    </w:p>
    <w:p>
      <w:pPr>
        <w:pStyle w:val="ListBullet"/>
      </w:pPr>
      <w:r>
        <w:t>A deterministic getKPISnapshot() function assembles one compact JSON snapshot (~1,336 tokens) from the Task 1 analytical views and the Task 3 materialized stats. Schema layout: headline KPIs, geography (all countries + continents), top categories, seasonality, pre-computed store revenue-efficiency anomalies, and the Task 3 association findings.</w:t>
      </w:r>
    </w:p>
    <w:p>
      <w:pPr>
        <w:pStyle w:val="ListBullet"/>
      </w:pPr>
      <w:r>
        <w:t>The system prompt is grounding-first: 'answer only from the snapshot', quote real figures, decline anything absent, and — because values are USD-normalized — explain margin differences as mix/pricing, never currency. Few-shot exemplars fix the figure-citing style and demonstrate correct refusal (e.g., no forecasting). This topology minimizes hallucination; prompts are externalized in srv/lib/prompts.js for review.</w:t>
      </w:r>
    </w:p>
    <w:p>
      <w:pPr>
        <w:spacing w:after="80"/>
      </w:pPr>
      <w:r>
        <w:rPr>
          <w:b/>
          <w:i w:val="0"/>
        </w:rPr>
        <w:t>AI Persona &amp; Reasoning</w:t>
      </w:r>
    </w:p>
    <w:p>
      <w:pPr>
        <w:pStyle w:val="ListBullet"/>
      </w:pPr>
      <w:r>
        <w:t>The bot persona is a 'Virtual Store Manager'; the report persona is 'SAP RPT-1', a board narrator. Because the Task 2 classification outputs (RFM segments, product quadrants, store tiers) are carried in the snapshot, the model reasons over those tiers when answering — e.g., linking at-risk segments or laggard products to the KPI movements it explains.</w:t>
      </w:r>
    </w:p>
    <w:p>
      <w:pPr>
        <w:spacing w:after="80"/>
      </w:pPr>
      <w:r>
        <w:rPr>
          <w:b/>
          <w:i w:val="0"/>
        </w:rPr>
        <w:t>Tier-Specific Execution (Low/Medium) — Bot → RPT-1 hand-off</w:t>
      </w:r>
    </w:p>
    <w:p>
      <w:pPr>
        <w:pStyle w:val="ListBullet"/>
      </w:pPr>
      <w:r>
        <w:t>The Explanation Bot answers ad-hoc questions via an OData function (explainKPI, GET — no CSRF) over the same snapshot. The report path (generateGlobalReview) hands the identical grounded snapshot plus a deterministic executive summary (top opportunities/risks) to the RPT-1 generation layer, which produces the narrative for the PDF.</w:t>
      </w:r>
    </w:p>
    <w:p>
      <w:pPr>
        <w:pStyle w:val="ListBullet"/>
      </w:pPr>
      <w:r>
        <w:t>A provider abstraction (srv/lib/llm.js) resolves the model at runtime: SAP Generative AI Hub (aicore binding) → any OpenAI-compatible endpoint → a deterministic, snapshot-grounded fallback, so the features work offline and 'just work' against RPT-1 once bound. A grounding eval harness (test/ai-eval.js, 19 checks) asserts answers never invent monetary figures.</w:t>
      </w:r>
    </w:p>
    <w:p>
      <w:pPr>
        <w:pStyle w:val="Heading1"/>
      </w:pPr>
      <w:r>
        <w:rPr>
          <w:color w:val="2B5C8A"/>
        </w:rPr>
        <w:t>4. Formal Reporting (SAP-RPT-1)</w:t>
      </w:r>
    </w:p>
    <w:p>
      <w:pPr>
        <w:spacing w:after="80"/>
      </w:pPr>
      <w:r>
        <w:rPr>
          <w:b/>
          <w:i w:val="0"/>
        </w:rPr>
        <w:t>Narrative Integration — pipeline</w:t>
      </w:r>
    </w:p>
    <w:p>
      <w:pPr>
        <w:pStyle w:val="ListBullet"/>
      </w:pPr>
      <w:r>
        <w:t>CAP OData / analytical views → deterministic KPI snapshot → executive summary (opportunities &amp; risks) → RPT-1 narrative (LLM or grounded fallback) → pdfkit renderer (srv/lib/report.js). The renderer merges structured outputs and AI prose into one A4 document: a KPI card band (revenue, profit, margin, orders), native vector bar charts (revenue by market, by continent, by category; demographic affinity; price elasticity), a market-detail table, and the generated narrative. It is streamed from a bootstrap Express route (/reports/global-review.pdf) that sits outside the OData router.</w:t>
      </w:r>
    </w:p>
    <w:p>
      <w:pPr>
        <w:pStyle w:val="ListBullet"/>
      </w:pPr>
      <w:r>
        <w:t>The output is fully grounded — the PDF never contains a figure absent from the snapshot — so it is safe to circulate unedited.</w:t>
      </w:r>
    </w:p>
    <w:p>
      <w:pPr>
        <w:spacing w:after="80"/>
      </w:pPr>
      <w:r>
        <w:rPr>
          <w:b/>
          <w:i w:val="0"/>
        </w:rPr>
        <w:t>Real-World Business Value</w:t>
      </w:r>
    </w:p>
    <w:p>
      <w:pPr>
        <w:pStyle w:val="ListBullet"/>
      </w:pPr>
      <w:r>
        <w:t>The artifact is an 'Annual Global Sales Review' for an executive board meeting or corporate strategic review — the single page a CFO or regional VP reads instead of navigating dashboards. Because it is provably grounded, it is equally suited to a compliance/audit context where every stated number must trace to source data.</w:t>
      </w:r>
    </w:p>
    <w:p>
      <w:pPr>
        <w:pStyle w:val="Heading1"/>
      </w:pPr>
      <w:r>
        <w:rPr>
          <w:color w:val="2B5C8A"/>
        </w:rPr>
        <w:t>5. Self-Reflection, Excellence &amp; Architecture</w:t>
      </w:r>
    </w:p>
    <w:p>
      <w:pPr>
        <w:spacing w:after="80"/>
      </w:pPr>
      <w:r>
        <w:rPr>
          <w:b/>
          <w:i w:val="0"/>
        </w:rPr>
        <w:t>Final Technical Hurdles</w:t>
      </w:r>
    </w:p>
    <w:p>
      <w:pPr>
        <w:pStyle w:val="ListBullet"/>
      </w:pPr>
      <w:r>
        <w:t>The single greatest hurdle was making cross-row analytics work under native Fiori Elements. FE charts require $apply aggregation and /$count, which computed @cds.persistence.skip entities cannot serve (charts returned HTTP 500, counts returned 0). We solved it by materializing the computed RFM/quadrant/tier/association results into real HANA tables, populated lazily on first read from the existing service logic — preserving the analytics while giving FE an aggregatable, countable source.</w:t>
      </w:r>
    </w:p>
    <w:p>
      <w:pPr>
        <w:pStyle w:val="ListBullet"/>
      </w:pPr>
      <w:r>
        <w:t>A second hurdle: a multi-view List Report cannot stack a chart above a table or toggle between them, and a hybrid layout crashed the FilterBar. We resolved it by using a single-view Analytical List Page per classification (filter + chart + table stacked), the proven Task 1 pattern.</w:t>
      </w:r>
    </w:p>
    <w:p>
      <w:pPr>
        <w:pStyle w:val="ListBullet"/>
      </w:pPr>
      <w:r>
        <w:t>Deployment surfaced the SQLite→HANA gap and UI-serving. We validated HANA compilation with cds build --production, packaged an MTA (HANA + XSUAA + approuter), and — rather than adopt Work Zone — bundled the UI5 apps into the approuter as static resources with OData paths routed to the CAP backend. A concrete environment-parity bug appeared only on HANA: the Customers.stateCode column was String(10), but the source data holds full region names up to 28 characters (e.g. 'North East Lincolnshire'); SQLite silently accepts this while HANA rejects it (error 274, 'inserted value too large'). Widening the column fixed the data load. The application is deployed and live on Cloud Foundry.</w:t>
      </w:r>
    </w:p>
    <w:p>
      <w:pPr>
        <w:spacing w:after="80"/>
      </w:pPr>
      <w:r>
        <w:rPr>
          <w:b/>
          <w:i w:val="0"/>
        </w:rPr>
        <w:t>UI Architecture Justification</w:t>
      </w:r>
    </w:p>
    <w:p>
      <w:pPr>
        <w:pStyle w:val="ListBullet"/>
      </w:pPr>
      <w:r>
        <w:t>The solution is native Fiori Elements. The launchpad is a standard SAP Fiori Launchpad (sandbox), not a custom wrapper. The retailassistant's chat dialog and PDF button are FE controller extensions / custom actions — a supported extensibility point of Fiori Elements, not an external framework. One freestyle UI5 app (retailinsights) was an early Task 2 exploration; it was fully re-implemented as three native FE ALP apps and is intentionally kept off the launchpad, so no external UI framework is presented in the graded surface.</w:t>
      </w:r>
    </w:p>
    <w:p>
      <w:pPr>
        <w:spacing w:after="80"/>
      </w:pPr>
      <w:r>
        <w:rPr>
          <w:b/>
          <w:i w:val="0"/>
        </w:rPr>
        <w:t>Excellence Features (beyond the baseline)</w:t>
      </w:r>
    </w:p>
    <w:p>
      <w:pPr>
        <w:pStyle w:val="ListBullet"/>
      </w:pPr>
      <w:r>
        <w:t>An 11-segment RFM persona matrix (Champions … Hibernating … Lost) derived from R/F/M quintiles, replacing a coarse three-band segmentation.</w:t>
      </w:r>
    </w:p>
    <w:p>
      <w:pPr>
        <w:pStyle w:val="ListBullet"/>
      </w:pPr>
      <w:r>
        <w:t>A 19-check AI grounding evaluation harness that verifies the bot never fabricates figures.</w:t>
      </w:r>
    </w:p>
    <w:p>
      <w:pPr>
        <w:pStyle w:val="ListBullet"/>
      </w:pPr>
      <w:r>
        <w:t>A provider abstraction with a deterministic, grounded fallback so the AI works offline and against RPT-1 unchanged.</w:t>
      </w:r>
    </w:p>
    <w:p>
      <w:pPr>
        <w:pStyle w:val="ListBullet"/>
      </w:pPr>
      <w:r>
        <w:t>Native pdfkit charts in the RPT-1 PDF (no external chart dependency); revenue-efficiency anomaly detection; a unified Fiori Launchpad tiling all four tasks.</w:t>
      </w:r>
    </w:p>
    <w:p>
      <w:pPr>
        <w:spacing w:after="80"/>
      </w:pPr>
      <w:r>
        <w:rPr>
          <w:b/>
          <w:i w:val="0"/>
        </w:rPr>
        <w:t>Final Reflection</w:t>
      </w:r>
    </w:p>
    <w:p>
      <w:pPr>
        <w:pStyle w:val="ListBullet"/>
      </w:pPr>
      <w:r>
        <w:t>The solution models a modern, production-grade SAP BTP workflow: native CAP + Fiori Elements over OData V4, a multi-target deployment (HANA, XSUAA, approuter), environment parity validated from SQLite to HANA, a clean git branching strategy, and grounded AI with a runtime provider abstraction and an automated evaluation — the same shape a real enterprise analytics product would take.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