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DC6" w:rsidRPr="00063A6C" w:rsidRDefault="00562DC6" w:rsidP="00562DC6">
      <w:pPr>
        <w:rPr>
          <w:rFonts w:ascii="Arial" w:hAnsi="Arial" w:cs="Arial"/>
        </w:rPr>
      </w:pPr>
      <w:bookmarkStart w:id="0" w:name="_GoBack"/>
      <w:bookmarkEnd w:id="0"/>
    </w:p>
    <w:p w:rsidR="00562DC6" w:rsidRPr="00063A6C" w:rsidRDefault="00562DC6" w:rsidP="00562DC6">
      <w:pPr>
        <w:rPr>
          <w:rFonts w:ascii="Arial" w:hAnsi="Arial" w:cs="Arial"/>
        </w:rPr>
      </w:pPr>
    </w:p>
    <w:p w:rsidR="00562DC6" w:rsidRPr="00063A6C" w:rsidRDefault="00562DC6" w:rsidP="00562DC6">
      <w:pPr>
        <w:jc w:val="center"/>
        <w:rPr>
          <w:rFonts w:ascii="Arial" w:hAnsi="Arial" w:cs="Arial"/>
        </w:rPr>
      </w:pPr>
      <w:r w:rsidRPr="00063A6C">
        <w:rPr>
          <w:rFonts w:ascii="Arial" w:hAnsi="Arial" w:cs="Arial"/>
          <w:noProof/>
        </w:rPr>
        <w:drawing>
          <wp:inline distT="0" distB="0" distL="0" distR="0" wp14:anchorId="488A88A6" wp14:editId="05A9266B">
            <wp:extent cx="1821180" cy="1821180"/>
            <wp:effectExtent l="0" t="0" r="7620" b="7620"/>
            <wp:docPr id="43" name="Picture 43" descr="Northeastern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theastern University - Wikip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1180" cy="1821180"/>
                    </a:xfrm>
                    <a:prstGeom prst="rect">
                      <a:avLst/>
                    </a:prstGeom>
                    <a:noFill/>
                    <a:ln>
                      <a:noFill/>
                    </a:ln>
                  </pic:spPr>
                </pic:pic>
              </a:graphicData>
            </a:graphic>
          </wp:inline>
        </w:drawing>
      </w:r>
    </w:p>
    <w:p w:rsidR="00562DC6" w:rsidRPr="00063A6C" w:rsidRDefault="00562DC6" w:rsidP="00562DC6">
      <w:pPr>
        <w:jc w:val="center"/>
        <w:rPr>
          <w:rFonts w:ascii="Arial" w:hAnsi="Arial" w:cs="Arial"/>
          <w:b/>
        </w:rPr>
      </w:pPr>
      <w:r w:rsidRPr="00063A6C">
        <w:rPr>
          <w:rFonts w:ascii="Arial" w:hAnsi="Arial" w:cs="Arial"/>
          <w:b/>
        </w:rPr>
        <w:t>College of Professional Studies</w:t>
      </w:r>
    </w:p>
    <w:p w:rsidR="00562DC6" w:rsidRPr="00063A6C" w:rsidRDefault="00562DC6" w:rsidP="00562DC6">
      <w:pPr>
        <w:jc w:val="center"/>
        <w:rPr>
          <w:rFonts w:ascii="Arial" w:hAnsi="Arial" w:cs="Arial"/>
        </w:rPr>
      </w:pPr>
    </w:p>
    <w:p w:rsidR="00562DC6" w:rsidRPr="00063A6C" w:rsidRDefault="00562DC6" w:rsidP="00562DC6">
      <w:pPr>
        <w:jc w:val="center"/>
        <w:rPr>
          <w:rFonts w:ascii="Arial" w:hAnsi="Arial" w:cs="Arial"/>
        </w:rPr>
      </w:pPr>
      <w:r w:rsidRPr="00063A6C">
        <w:rPr>
          <w:rFonts w:ascii="Arial" w:hAnsi="Arial" w:cs="Arial"/>
        </w:rPr>
        <w:t>Name: Deepthi Jakki</w:t>
      </w:r>
    </w:p>
    <w:p w:rsidR="00562DC6" w:rsidRPr="00063A6C" w:rsidRDefault="00562DC6" w:rsidP="00562DC6">
      <w:pPr>
        <w:jc w:val="center"/>
        <w:rPr>
          <w:rFonts w:ascii="Arial" w:hAnsi="Arial" w:cs="Arial"/>
        </w:rPr>
      </w:pPr>
      <w:r w:rsidRPr="00063A6C">
        <w:rPr>
          <w:rFonts w:ascii="Arial" w:hAnsi="Arial" w:cs="Arial"/>
        </w:rPr>
        <w:t>Class Number and Name: ALY6020 Predictive Analytics</w:t>
      </w:r>
    </w:p>
    <w:p w:rsidR="00562DC6" w:rsidRPr="00063A6C" w:rsidRDefault="00562DC6" w:rsidP="00562DC6">
      <w:pPr>
        <w:jc w:val="center"/>
        <w:rPr>
          <w:rFonts w:ascii="Arial" w:hAnsi="Arial" w:cs="Arial"/>
        </w:rPr>
      </w:pPr>
      <w:r w:rsidRPr="00063A6C">
        <w:rPr>
          <w:rFonts w:ascii="Arial" w:hAnsi="Arial" w:cs="Arial"/>
        </w:rPr>
        <w:t>Assignment Name: Module</w:t>
      </w:r>
      <w:r w:rsidR="00EE2B7A">
        <w:rPr>
          <w:rFonts w:ascii="Arial" w:hAnsi="Arial" w:cs="Arial"/>
        </w:rPr>
        <w:t>4</w:t>
      </w:r>
      <w:r w:rsidRPr="00063A6C">
        <w:rPr>
          <w:rFonts w:ascii="Arial" w:hAnsi="Arial" w:cs="Arial"/>
        </w:rPr>
        <w:t xml:space="preserve"> </w:t>
      </w:r>
      <w:r w:rsidR="00EE2B7A">
        <w:rPr>
          <w:rFonts w:ascii="Arial" w:hAnsi="Arial" w:cs="Arial"/>
        </w:rPr>
        <w:t>Housing Dataset: Nashville</w:t>
      </w:r>
    </w:p>
    <w:p w:rsidR="00562DC6" w:rsidRPr="00063A6C" w:rsidRDefault="00562DC6" w:rsidP="00562DC6">
      <w:pPr>
        <w:jc w:val="center"/>
        <w:rPr>
          <w:rFonts w:ascii="Arial" w:hAnsi="Arial" w:cs="Arial"/>
        </w:rPr>
      </w:pPr>
      <w:r w:rsidRPr="00063A6C">
        <w:rPr>
          <w:rFonts w:ascii="Arial" w:hAnsi="Arial" w:cs="Arial"/>
        </w:rPr>
        <w:t>Instructor: Justin Grosz</w:t>
      </w:r>
    </w:p>
    <w:p w:rsidR="00562DC6" w:rsidRPr="00063A6C" w:rsidRDefault="00562DC6" w:rsidP="00562DC6">
      <w:pPr>
        <w:jc w:val="center"/>
        <w:rPr>
          <w:rFonts w:ascii="Arial" w:hAnsi="Arial" w:cs="Arial"/>
        </w:rPr>
      </w:pPr>
    </w:p>
    <w:p w:rsidR="00562DC6" w:rsidRDefault="00562DC6">
      <w:r>
        <w:br w:type="page"/>
      </w:r>
    </w:p>
    <w:p w:rsidR="008D6036" w:rsidRPr="001F7212" w:rsidRDefault="008D6036" w:rsidP="00A60F5D">
      <w:pPr>
        <w:jc w:val="center"/>
        <w:rPr>
          <w:b/>
        </w:rPr>
      </w:pPr>
      <w:r w:rsidRPr="001F7212">
        <w:rPr>
          <w:b/>
        </w:rPr>
        <w:lastRenderedPageBreak/>
        <w:t>Introduction</w:t>
      </w:r>
    </w:p>
    <w:p w:rsidR="008D6036" w:rsidRDefault="008D6036" w:rsidP="009D0751">
      <w:r w:rsidRPr="008D6036">
        <w:t>The real estate market in Nashville presents a dynamic and lucrative investment landscape. As the market grows, understanding the factors that drive property values is essential for informed investment decisions.</w:t>
      </w:r>
      <w:r>
        <w:t xml:space="preserve"> </w:t>
      </w:r>
      <w:r w:rsidRPr="008D6036">
        <w:t xml:space="preserve">Accurate valuation of properties is a crucial yet challenging aspect of real estate investment. The disparity between the sale price and the intrinsic value of properties can significantly affect investment outcomes. This complexity </w:t>
      </w:r>
      <w:proofErr w:type="gramStart"/>
      <w:r w:rsidRPr="008D6036">
        <w:t>is driven</w:t>
      </w:r>
      <w:proofErr w:type="gramEnd"/>
      <w:r w:rsidRPr="008D6036">
        <w:t xml:space="preserve"> by a myriad of factors, ranging from property-specific attributes to broader market trends</w:t>
      </w:r>
      <w:r>
        <w:t>.</w:t>
      </w:r>
    </w:p>
    <w:p w:rsidR="008D6036" w:rsidRDefault="008D6036" w:rsidP="009D0751">
      <w:r>
        <w:t>The objective of this study is to leverage advanced data analytics and machine learning techniques to develop a series of predictive models. These models aim to accurately assess housing prices in the Nashville market and uncover the primary drivers of these valuations. The study involves:</w:t>
      </w:r>
    </w:p>
    <w:p w:rsidR="00E93BF7" w:rsidRDefault="00E93BF7" w:rsidP="009D0751">
      <w:pPr>
        <w:pStyle w:val="ListParagraph"/>
        <w:numPr>
          <w:ilvl w:val="0"/>
          <w:numId w:val="1"/>
        </w:numPr>
      </w:pPr>
      <w:r w:rsidRPr="00E93BF7">
        <w:t xml:space="preserve">Establishing a foundational understanding of housing prices through a Linear Regression model, identifying key factors </w:t>
      </w:r>
      <w:proofErr w:type="gramStart"/>
      <w:r w:rsidRPr="00E93BF7">
        <w:t>that</w:t>
      </w:r>
      <w:r>
        <w:t>,</w:t>
      </w:r>
      <w:proofErr w:type="gramEnd"/>
      <w:r w:rsidRPr="00E93BF7">
        <w:t xml:space="preserve"> influence these prices.</w:t>
      </w:r>
    </w:p>
    <w:p w:rsidR="008D6036" w:rsidRDefault="008D6036" w:rsidP="009D0751">
      <w:pPr>
        <w:pStyle w:val="ListParagraph"/>
        <w:numPr>
          <w:ilvl w:val="0"/>
          <w:numId w:val="1"/>
        </w:numPr>
      </w:pPr>
      <w:r>
        <w:t>Enhancing the analysis with a Decision Tree model, examining its performance in comparison to Linear Regression.</w:t>
      </w:r>
    </w:p>
    <w:p w:rsidR="008D6036" w:rsidRDefault="008D6036" w:rsidP="009D0751">
      <w:pPr>
        <w:pStyle w:val="ListParagraph"/>
        <w:numPr>
          <w:ilvl w:val="0"/>
          <w:numId w:val="1"/>
        </w:numPr>
      </w:pPr>
      <w:r>
        <w:t>Expanding to more complex models like Random Forest and Gradient Boost, each adding a layer of sophistication and potentially improved accuracy.</w:t>
      </w:r>
    </w:p>
    <w:p w:rsidR="008D6036" w:rsidRDefault="008D6036" w:rsidP="009D0751">
      <w:pPr>
        <w:pStyle w:val="ListParagraph"/>
        <w:numPr>
          <w:ilvl w:val="0"/>
          <w:numId w:val="1"/>
        </w:numPr>
      </w:pPr>
      <w:r>
        <w:t>Conducting a comprehensive comparison of these models using multiple benchmarking metrics to ascertain the most effective approach for the real estate company’s investment decisions.</w:t>
      </w:r>
    </w:p>
    <w:p w:rsidR="00E93BF7" w:rsidRDefault="00E93BF7" w:rsidP="009D0751">
      <w:r w:rsidRPr="00E93BF7">
        <w:t>Through this analysis, the study will illuminate the key determinants of property values in Nashville, providing a nuanced understanding of what drives the real estate market in this region.</w:t>
      </w:r>
    </w:p>
    <w:p w:rsidR="00AD69FE" w:rsidRPr="001F7212" w:rsidRDefault="005C600B" w:rsidP="00A60F5D">
      <w:pPr>
        <w:jc w:val="center"/>
        <w:rPr>
          <w:b/>
        </w:rPr>
      </w:pPr>
      <w:r w:rsidRPr="001F7212">
        <w:rPr>
          <w:b/>
        </w:rPr>
        <w:t>Methodology</w:t>
      </w:r>
    </w:p>
    <w:p w:rsidR="00AD69FE" w:rsidRDefault="00AD69FE" w:rsidP="009D0751">
      <w:r>
        <w:t>This study adopts a methodical approach, encompassing data cleansing, exploratory analysis, model development, and rigorous evaluation. By comparing the strengths and weaknesses of each model, the analysis aims to provide insights into the most reliable methods for predicting housing prices and understanding the dynamics of the Nashville real estate market.</w:t>
      </w:r>
    </w:p>
    <w:p w:rsidR="00AD69FE" w:rsidRDefault="00AD69FE" w:rsidP="009D0751">
      <w:r>
        <w:t>The findings and recommendations from this analysis will guide strategic investment decisions, ensuring that the real estate company capitalizes on the most lucrative opportunities in the Nashville market.</w:t>
      </w:r>
    </w:p>
    <w:p w:rsidR="005C600B" w:rsidRPr="001F7212" w:rsidRDefault="005C600B" w:rsidP="00A60F5D">
      <w:pPr>
        <w:jc w:val="center"/>
        <w:rPr>
          <w:b/>
        </w:rPr>
      </w:pPr>
      <w:r w:rsidRPr="001F7212">
        <w:rPr>
          <w:b/>
        </w:rPr>
        <w:t>Data Cleaning and Preparation</w:t>
      </w:r>
    </w:p>
    <w:p w:rsidR="005C600B" w:rsidRDefault="005C600B" w:rsidP="009D0751">
      <w:r w:rsidRPr="005C600B">
        <w:t xml:space="preserve">The analysis </w:t>
      </w:r>
      <w:proofErr w:type="gramStart"/>
      <w:r>
        <w:t>is based</w:t>
      </w:r>
      <w:proofErr w:type="gramEnd"/>
      <w:r>
        <w:t xml:space="preserve"> on</w:t>
      </w:r>
      <w:r w:rsidRPr="005C600B">
        <w:t xml:space="preserve"> </w:t>
      </w:r>
      <w:r>
        <w:t xml:space="preserve">a </w:t>
      </w:r>
      <w:r w:rsidRPr="005C600B">
        <w:t>comprehensive dataset detailing recent real estate transactions in the Nashville area. This dataset include</w:t>
      </w:r>
      <w:r>
        <w:t>s</w:t>
      </w:r>
      <w:r w:rsidRPr="005C600B">
        <w:t xml:space="preserve"> a wide range of</w:t>
      </w:r>
      <w:r>
        <w:t xml:space="preserve"> variables such as property address</w:t>
      </w:r>
      <w:r w:rsidRPr="005C600B">
        <w:t xml:space="preserve">, sale date, building value, </w:t>
      </w:r>
      <w:r>
        <w:t xml:space="preserve">finished </w:t>
      </w:r>
      <w:r w:rsidRPr="005C600B">
        <w:t xml:space="preserve">area, and the key variable of interest – 'Sale Price Compared </w:t>
      </w:r>
      <w:proofErr w:type="gramStart"/>
      <w:r w:rsidRPr="005C600B">
        <w:t>To</w:t>
      </w:r>
      <w:proofErr w:type="gramEnd"/>
      <w:r w:rsidRPr="005C600B">
        <w:t xml:space="preserve"> Value'. An initial assessment of the dataset </w:t>
      </w:r>
      <w:proofErr w:type="gramStart"/>
      <w:r w:rsidRPr="005C600B">
        <w:t>was conducted</w:t>
      </w:r>
      <w:proofErr w:type="gramEnd"/>
      <w:r w:rsidRPr="005C600B">
        <w:t xml:space="preserve"> to understand its structure, completeness, and quality</w:t>
      </w:r>
      <w:r>
        <w:t>.</w:t>
      </w:r>
    </w:p>
    <w:p w:rsidR="005C600B" w:rsidRDefault="005C600B" w:rsidP="009D0751">
      <w:r>
        <w:t>The data cleaning process involved several essential steps:</w:t>
      </w:r>
    </w:p>
    <w:p w:rsidR="005C600B" w:rsidRDefault="005C600B" w:rsidP="009D0751">
      <w:r>
        <w:t>Removal of Irrelevant Features</w:t>
      </w:r>
    </w:p>
    <w:p w:rsidR="005C600B" w:rsidRDefault="005C600B" w:rsidP="009D0751">
      <w:r>
        <w:t>Columns that were not relevant to the analysis, such as 'Suite/Condo #' and '</w:t>
      </w:r>
      <w:proofErr w:type="gramStart"/>
      <w:r>
        <w:t>Unnamed</w:t>
      </w:r>
      <w:proofErr w:type="gramEnd"/>
      <w:r>
        <w:t>: 0', were identified and removed. This step streamlined the dataset, focusing the analysis on impactful variables.</w:t>
      </w:r>
    </w:p>
    <w:p w:rsidR="005C600B" w:rsidRDefault="005C600B" w:rsidP="009D0751">
      <w:r>
        <w:t>Handling Missing Values</w:t>
      </w:r>
      <w:r w:rsidR="008C0CFD">
        <w:t xml:space="preserve"> and outliers</w:t>
      </w:r>
    </w:p>
    <w:p w:rsidR="005C600B" w:rsidRDefault="00895A24" w:rsidP="009D0751">
      <w:r>
        <w:lastRenderedPageBreak/>
        <w:t>M</w:t>
      </w:r>
      <w:r w:rsidR="005C600B">
        <w:t xml:space="preserve">issing data </w:t>
      </w:r>
      <w:proofErr w:type="gramStart"/>
      <w:r w:rsidR="005C600B">
        <w:t>was addressed</w:t>
      </w:r>
      <w:proofErr w:type="gramEnd"/>
      <w:r w:rsidR="005C600B">
        <w:t xml:space="preserve"> by removing rows with incomplete information. This decision </w:t>
      </w:r>
      <w:proofErr w:type="gramStart"/>
      <w:r w:rsidR="005C600B">
        <w:t>was made</w:t>
      </w:r>
      <w:proofErr w:type="gramEnd"/>
      <w:r w:rsidR="005C600B">
        <w:t xml:space="preserve"> to preserve the qua</w:t>
      </w:r>
      <w:r>
        <w:t>lity of the analysis,</w:t>
      </w:r>
      <w:r w:rsidR="005C600B">
        <w:t xml:space="preserve"> given the ample size of the refined dataset.</w:t>
      </w:r>
      <w:r w:rsidR="008C0CFD">
        <w:t xml:space="preserve"> Considering the nature of the real estate </w:t>
      </w:r>
      <w:proofErr w:type="gramStart"/>
      <w:r w:rsidR="008C0CFD">
        <w:t>industry</w:t>
      </w:r>
      <w:proofErr w:type="gramEnd"/>
      <w:r w:rsidR="008C0CFD">
        <w:t xml:space="preserve"> the outliers are included in the study.</w:t>
      </w:r>
    </w:p>
    <w:p w:rsidR="005C600B" w:rsidRDefault="005C600B" w:rsidP="009D0751">
      <w:r>
        <w:t>Data Type Conversion</w:t>
      </w:r>
    </w:p>
    <w:p w:rsidR="005C600B" w:rsidRDefault="005C600B" w:rsidP="009D0751">
      <w:r>
        <w:t xml:space="preserve">The dataset </w:t>
      </w:r>
      <w:proofErr w:type="gramStart"/>
      <w:r w:rsidR="00895A24">
        <w:t>was transformed</w:t>
      </w:r>
      <w:proofErr w:type="gramEnd"/>
      <w:r>
        <w:t xml:space="preserve"> to ensure data types were aligned with the analysis requirements. For example, the 'Sale Date' </w:t>
      </w:r>
      <w:proofErr w:type="gramStart"/>
      <w:r>
        <w:t>was converted</w:t>
      </w:r>
      <w:proofErr w:type="gramEnd"/>
      <w:r>
        <w:t xml:space="preserve"> to a </w:t>
      </w:r>
      <w:proofErr w:type="spellStart"/>
      <w:r w:rsidR="00895A24">
        <w:t>DateTime</w:t>
      </w:r>
      <w:proofErr w:type="spellEnd"/>
      <w:r>
        <w:t xml:space="preserve"> format, facilitating temporal analysis.</w:t>
      </w:r>
    </w:p>
    <w:p w:rsidR="005C600B" w:rsidRDefault="005C600B" w:rsidP="009D0751">
      <w:r>
        <w:t>Feature Engineering</w:t>
      </w:r>
    </w:p>
    <w:p w:rsidR="005C600B" w:rsidRDefault="005C600B" w:rsidP="009D0751">
      <w:r>
        <w:t>Extraction of New Features</w:t>
      </w:r>
    </w:p>
    <w:p w:rsidR="005C600B" w:rsidRDefault="005C600B" w:rsidP="009D0751">
      <w:r>
        <w:t xml:space="preserve">New features relevant to the Nashville market </w:t>
      </w:r>
      <w:proofErr w:type="gramStart"/>
      <w:r>
        <w:t>were derived</w:t>
      </w:r>
      <w:proofErr w:type="gramEnd"/>
      <w:r>
        <w:t xml:space="preserve"> from the existing data. For instance, extracting the year from the 'Sale Date' allowed for an analysis of price trends over time.</w:t>
      </w:r>
    </w:p>
    <w:p w:rsidR="005C600B" w:rsidRDefault="005C600B" w:rsidP="009D0751">
      <w:r>
        <w:t>Encoding Categorical Variables</w:t>
      </w:r>
    </w:p>
    <w:p w:rsidR="005C600B" w:rsidRDefault="005C600B" w:rsidP="009D0751">
      <w:r>
        <w:t xml:space="preserve">Categorical variables were transformed using techniques </w:t>
      </w:r>
      <w:proofErr w:type="gramStart"/>
      <w:r>
        <w:t>like one-hot encoding</w:t>
      </w:r>
      <w:proofErr w:type="gramEnd"/>
      <w:r>
        <w:t>. This conversion of categorical data into a numerical format was crucial for incorporating these variables into the machine learning models.</w:t>
      </w:r>
    </w:p>
    <w:p w:rsidR="005C600B" w:rsidRDefault="005C600B" w:rsidP="009D0751">
      <w:r>
        <w:t>Preparation</w:t>
      </w:r>
    </w:p>
    <w:p w:rsidR="00895A24" w:rsidRDefault="00895A24" w:rsidP="009D0751">
      <w:r>
        <w:t xml:space="preserve">To align with the study's objectives, the dataset </w:t>
      </w:r>
      <w:proofErr w:type="gramStart"/>
      <w:r>
        <w:t>was filtered</w:t>
      </w:r>
      <w:proofErr w:type="gramEnd"/>
      <w:r>
        <w:t xml:space="preserve"> to include only those records pertaining to properties in Nashville. This refinement ensured that the subsequent analysis was concentrated on the market of interest.</w:t>
      </w:r>
    </w:p>
    <w:p w:rsidR="00895A24" w:rsidRPr="001F7212" w:rsidRDefault="001A3D38" w:rsidP="00A60F5D">
      <w:pPr>
        <w:jc w:val="center"/>
        <w:rPr>
          <w:b/>
        </w:rPr>
      </w:pPr>
      <w:r w:rsidRPr="001F7212">
        <w:rPr>
          <w:b/>
        </w:rPr>
        <w:t>Exploratory Data Analysis</w:t>
      </w:r>
    </w:p>
    <w:p w:rsidR="001A3D38" w:rsidRDefault="00BD1D14" w:rsidP="009D0751">
      <w:r w:rsidRPr="00BD1D14">
        <w:t>The Nashville real estate dataset reveals a market characterized by diversity, offering a range of investment opportunities. The variance in acreage, from smaller plots to substantial landholdings, indicates a spectrum of property types, from compact urban residences to expansive rural estates. This diversity is crucial for a real estate portfolio that aims to cater to different market segments</w:t>
      </w:r>
      <w:r>
        <w:t>.</w:t>
      </w:r>
      <w:r w:rsidR="00391ACB" w:rsidRPr="00391ACB">
        <w:t xml:space="preserve"> The analysis revealed a significant variation in property sizes and values, indicating a dynamic and diverse Nashville real estate market.</w:t>
      </w:r>
    </w:p>
    <w:p w:rsidR="00391ACB" w:rsidRDefault="00391ACB" w:rsidP="009D0751">
      <w:r>
        <w:rPr>
          <w:noProof/>
        </w:rPr>
        <w:drawing>
          <wp:inline distT="0" distB="0" distL="0" distR="0" wp14:anchorId="2E9AEC3F" wp14:editId="0865FDE3">
            <wp:extent cx="4581950" cy="1821180"/>
            <wp:effectExtent l="0" t="0" r="9525" b="7620"/>
            <wp:docPr id="2" name="Picture 2" descr="C:\Users\Admin\AppData\Local\Microsoft\Windows\INetCache\Content.MSO\D88501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Content.MSO\D885019.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90875" cy="1824727"/>
                    </a:xfrm>
                    <a:prstGeom prst="rect">
                      <a:avLst/>
                    </a:prstGeom>
                    <a:noFill/>
                    <a:ln>
                      <a:noFill/>
                    </a:ln>
                  </pic:spPr>
                </pic:pic>
              </a:graphicData>
            </a:graphic>
          </wp:inline>
        </w:drawing>
      </w:r>
    </w:p>
    <w:p w:rsidR="00BD1D14" w:rsidRDefault="00BD1D14" w:rsidP="009D0751">
      <w:r w:rsidRPr="00BD1D14">
        <w:lastRenderedPageBreak/>
        <w:t xml:space="preserve">The land and building values provide insights into the Nashville market's valuation trends. With average land values around $80,000 and building values at approximately $187,731, </w:t>
      </w:r>
      <w:proofErr w:type="gramStart"/>
      <w:r w:rsidRPr="00BD1D14">
        <w:t>there's</w:t>
      </w:r>
      <w:proofErr w:type="gramEnd"/>
      <w:r w:rsidRPr="00BD1D14">
        <w:t xml:space="preserve"> a notable range, highlighting the market's varied investment scales.</w:t>
      </w:r>
    </w:p>
    <w:p w:rsidR="00BD1D14" w:rsidRDefault="00BD1D14" w:rsidP="009D0751">
      <w:r w:rsidRPr="00BD1D14">
        <w:t>The predominance of 'Single Family' land use underscores a strong residential market focus. This is key for investors targeting residential property investments, offering insights into the demand patterns and potential growth areas in Nashville's residential sector.</w:t>
      </w:r>
    </w:p>
    <w:p w:rsidR="00BD1D14" w:rsidRDefault="00BD1D14" w:rsidP="009D0751">
      <w:r w:rsidRPr="00BD1D14">
        <w:t xml:space="preserve">The majority of properties not </w:t>
      </w:r>
      <w:proofErr w:type="gramStart"/>
      <w:r w:rsidRPr="00BD1D14">
        <w:t>being sold</w:t>
      </w:r>
      <w:proofErr w:type="gramEnd"/>
      <w:r w:rsidRPr="00BD1D14">
        <w:t xml:space="preserve"> as vacant indicates a market with a high turnover of established structures, a significant consideration for investors focusing on ready-to-occupy properties. Additionally, the trend of properties </w:t>
      </w:r>
      <w:proofErr w:type="gramStart"/>
      <w:r w:rsidRPr="00BD1D14">
        <w:t>being classified</w:t>
      </w:r>
      <w:proofErr w:type="gramEnd"/>
      <w:r w:rsidRPr="00BD1D14">
        <w:t xml:space="preserve"> as 'Over' in sale price compared to value suggests a competitive market with potential for high-value transactions.</w:t>
      </w:r>
    </w:p>
    <w:tbl>
      <w:tblPr>
        <w:tblStyle w:val="TableGrid"/>
        <w:tblW w:w="0" w:type="auto"/>
        <w:tblLook w:val="04A0" w:firstRow="1" w:lastRow="0" w:firstColumn="1" w:lastColumn="0" w:noHBand="0" w:noVBand="1"/>
      </w:tblPr>
      <w:tblGrid>
        <w:gridCol w:w="3256"/>
        <w:gridCol w:w="6094"/>
      </w:tblGrid>
      <w:tr w:rsidR="00391ACB" w:rsidTr="008C0CFD">
        <w:trPr>
          <w:trHeight w:val="3086"/>
        </w:trPr>
        <w:tc>
          <w:tcPr>
            <w:tcW w:w="3184" w:type="dxa"/>
          </w:tcPr>
          <w:p w:rsidR="00BD1D14" w:rsidRDefault="005D1728" w:rsidP="009D0751">
            <w:r>
              <w:rPr>
                <w:noProof/>
              </w:rPr>
              <w:drawing>
                <wp:inline distT="0" distB="0" distL="0" distR="0" wp14:anchorId="2B0FCBBA" wp14:editId="1807703F">
                  <wp:extent cx="1958313" cy="1958340"/>
                  <wp:effectExtent l="0" t="0" r="4445" b="3810"/>
                  <wp:docPr id="3" name="Picture 3" descr="C:\Users\Admin\AppData\Local\Microsoft\Windows\INetCache\Content.MSO\A6882D9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MSO\A6882D93.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34810" cy="2034838"/>
                          </a:xfrm>
                          <a:prstGeom prst="rect">
                            <a:avLst/>
                          </a:prstGeom>
                          <a:noFill/>
                          <a:ln>
                            <a:noFill/>
                          </a:ln>
                        </pic:spPr>
                      </pic:pic>
                    </a:graphicData>
                  </a:graphic>
                </wp:inline>
              </w:drawing>
            </w:r>
          </w:p>
        </w:tc>
        <w:tc>
          <w:tcPr>
            <w:tcW w:w="6166" w:type="dxa"/>
          </w:tcPr>
          <w:p w:rsidR="00BD1D14" w:rsidRDefault="00391ACB" w:rsidP="009D0751">
            <w:r>
              <w:rPr>
                <w:noProof/>
              </w:rPr>
              <w:drawing>
                <wp:inline distT="0" distB="0" distL="0" distR="0" wp14:anchorId="3851697A" wp14:editId="26482FB5">
                  <wp:extent cx="3793883" cy="2042160"/>
                  <wp:effectExtent l="0" t="0" r="0" b="0"/>
                  <wp:docPr id="4" name="Picture 4" descr="C:\Users\Admin\AppData\Local\Microsoft\Windows\INetCache\Content.MSO\B057428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Microsoft\Windows\INetCache\Content.MSO\B057428F.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9237" cy="2061190"/>
                          </a:xfrm>
                          <a:prstGeom prst="rect">
                            <a:avLst/>
                          </a:prstGeom>
                          <a:noFill/>
                          <a:ln>
                            <a:noFill/>
                          </a:ln>
                        </pic:spPr>
                      </pic:pic>
                    </a:graphicData>
                  </a:graphic>
                </wp:inline>
              </w:drawing>
            </w:r>
          </w:p>
        </w:tc>
      </w:tr>
    </w:tbl>
    <w:p w:rsidR="00BD1D14" w:rsidRDefault="00BD1D14" w:rsidP="009D0751"/>
    <w:p w:rsidR="0014255E" w:rsidRPr="00F755D1" w:rsidRDefault="00BD1D14" w:rsidP="009D0751">
      <w:pPr>
        <w:rPr>
          <w:b/>
        </w:rPr>
      </w:pPr>
      <w:r w:rsidRPr="00F755D1">
        <w:rPr>
          <w:b/>
        </w:rPr>
        <w:t xml:space="preserve"> </w:t>
      </w:r>
      <w:r w:rsidR="0014255E" w:rsidRPr="00F755D1">
        <w:rPr>
          <w:b/>
        </w:rPr>
        <w:t xml:space="preserve">Preparing for Predictive Modeling: Addressing </w:t>
      </w:r>
      <w:proofErr w:type="spellStart"/>
      <w:r w:rsidR="0014255E" w:rsidRPr="00F755D1">
        <w:rPr>
          <w:b/>
        </w:rPr>
        <w:t>Multicollinearity</w:t>
      </w:r>
      <w:proofErr w:type="spellEnd"/>
      <w:r w:rsidR="0014255E" w:rsidRPr="00F755D1">
        <w:rPr>
          <w:b/>
        </w:rPr>
        <w:t xml:space="preserve"> through VIF Analysis</w:t>
      </w:r>
    </w:p>
    <w:p w:rsidR="00BD1D14" w:rsidRDefault="0014255E" w:rsidP="009D0751">
      <w:r>
        <w:t xml:space="preserve">Before delving into the construction of predictive models, a crucial preparatory step was undertaken: the Variance Inflation Factor (VIF) analysis. </w:t>
      </w:r>
      <w:proofErr w:type="spellStart"/>
      <w:r w:rsidRPr="0014255E">
        <w:t>Multicollinearity</w:t>
      </w:r>
      <w:proofErr w:type="spellEnd"/>
      <w:r w:rsidRPr="0014255E">
        <w:t xml:space="preserve"> arises when independent variables in a regression model are highly correlated. This correlation can lead to inflated standard errors and unreliable estimates of regression coefficients, making it challenging to discern the individual effect of each predictor</w:t>
      </w:r>
      <w:r>
        <w:t>.</w:t>
      </w:r>
      <w:r w:rsidRPr="0014255E">
        <w:t xml:space="preserve"> To mitigate the risk and enhance the reliability of the subsequent predictive models, variables with high VIF scores </w:t>
      </w:r>
      <w:proofErr w:type="gramStart"/>
      <w:r>
        <w:t>are</w:t>
      </w:r>
      <w:r w:rsidRPr="0014255E">
        <w:t xml:space="preserve"> eliminated</w:t>
      </w:r>
      <w:proofErr w:type="gramEnd"/>
      <w:r w:rsidRPr="0014255E">
        <w:t xml:space="preserve"> from </w:t>
      </w:r>
      <w:r>
        <w:t>the analysis</w:t>
      </w:r>
      <w:r w:rsidRPr="0014255E">
        <w:t>.</w:t>
      </w:r>
    </w:p>
    <w:p w:rsidR="00F755D1" w:rsidRPr="00F755D1" w:rsidRDefault="00F755D1" w:rsidP="00A60F5D">
      <w:pPr>
        <w:jc w:val="center"/>
        <w:rPr>
          <w:b/>
        </w:rPr>
      </w:pPr>
      <w:r w:rsidRPr="00F755D1">
        <w:rPr>
          <w:b/>
        </w:rPr>
        <w:t>Modeling</w:t>
      </w:r>
    </w:p>
    <w:p w:rsidR="007F1B5F" w:rsidRDefault="00F755D1" w:rsidP="009D0751">
      <w:r w:rsidRPr="00F755D1">
        <w:t xml:space="preserve">Post-VIF analysis, the logistic regression model </w:t>
      </w:r>
      <w:proofErr w:type="gramStart"/>
      <w:r w:rsidRPr="00F755D1">
        <w:t>was built</w:t>
      </w:r>
      <w:proofErr w:type="gramEnd"/>
      <w:r w:rsidRPr="00F755D1">
        <w:t xml:space="preserve"> with a refined set of predictors. This ensured that the model's outcomes were based on variables with distinct and independent influences on the target variable, 'Sale Price Compared </w:t>
      </w:r>
      <w:proofErr w:type="gramStart"/>
      <w:r w:rsidRPr="00F755D1">
        <w:t>To</w:t>
      </w:r>
      <w:proofErr w:type="gramEnd"/>
      <w:r w:rsidRPr="00F755D1">
        <w:t xml:space="preserve"> Value'.</w:t>
      </w:r>
    </w:p>
    <w:p w:rsidR="00F755D1" w:rsidRDefault="00F755D1" w:rsidP="009D0751">
      <w:r>
        <w:t xml:space="preserve">The Logistic Regression model was developed to predict the 'Sale Price Compared </w:t>
      </w:r>
      <w:proofErr w:type="gramStart"/>
      <w:r>
        <w:t>To</w:t>
      </w:r>
      <w:proofErr w:type="gramEnd"/>
      <w:r>
        <w:t xml:space="preserve"> Value' - whether properties in the Nashville real estate market are overvalued or undervalued. The model's coefficients offer insights into the factors influencing these valuations.</w:t>
      </w:r>
    </w:p>
    <w:p w:rsidR="00F755D1" w:rsidRDefault="00F755D1" w:rsidP="009D0751">
      <w:r>
        <w:t>Interpretation of Model Results</w:t>
      </w:r>
    </w:p>
    <w:p w:rsidR="00F755D1" w:rsidRDefault="00F755D1" w:rsidP="009D0751">
      <w:r>
        <w:t xml:space="preserve">Model Convergence: The model successfully converged after </w:t>
      </w:r>
      <w:proofErr w:type="gramStart"/>
      <w:r>
        <w:t>6</w:t>
      </w:r>
      <w:proofErr w:type="gramEnd"/>
      <w:r>
        <w:t xml:space="preserve"> iterations, indicating a stable solution.</w:t>
      </w:r>
    </w:p>
    <w:p w:rsidR="00F755D1" w:rsidRDefault="00F755D1" w:rsidP="009D0751">
      <w:r>
        <w:lastRenderedPageBreak/>
        <w:t>Model Fit and Effectiveness:</w:t>
      </w:r>
    </w:p>
    <w:p w:rsidR="00F755D1" w:rsidRDefault="00F755D1" w:rsidP="009D0751">
      <w:r>
        <w:t xml:space="preserve">The Pseudo R-squared value of 0.025, while modest, indicates that the model captures some of the variability in the data, but </w:t>
      </w:r>
      <w:proofErr w:type="gramStart"/>
      <w:r>
        <w:t>there's</w:t>
      </w:r>
      <w:proofErr w:type="gramEnd"/>
      <w:r>
        <w:t xml:space="preserve"> room for improvement.</w:t>
      </w:r>
    </w:p>
    <w:p w:rsidR="008C0CFD" w:rsidRDefault="008C0CFD" w:rsidP="009D0751">
      <w:r>
        <w:t>Coefficient Analysis- Significant Predictors:</w:t>
      </w:r>
    </w:p>
    <w:p w:rsidR="006307A7" w:rsidRDefault="00F755D1" w:rsidP="009D0751">
      <w:r>
        <w:t xml:space="preserve">Sold As Vacant: A significant positive </w:t>
      </w:r>
      <w:r w:rsidR="006307A7">
        <w:t>coefficient and an odd ratio above 29</w:t>
      </w:r>
      <w:r>
        <w:t xml:space="preserve"> indicates that properties sold as vacant are more likely to be valued differently from their sale price, possibly reflecting market </w:t>
      </w:r>
      <w:r w:rsidR="006307A7">
        <w:t>perceptions of potential.</w:t>
      </w:r>
    </w:p>
    <w:p w:rsidR="006307A7" w:rsidRDefault="006307A7" w:rsidP="009D0751">
      <w:r w:rsidRPr="006307A7">
        <w:t xml:space="preserve"> Building Value: Despite its relatively small coefficient, 'Building Value' has a profound statistical significance (p-value: 5.05e-24). This implies that even minor variations in building value can influence the likelihood of a property </w:t>
      </w:r>
      <w:proofErr w:type="gramStart"/>
      <w:r w:rsidRPr="006307A7">
        <w:t>being considered</w:t>
      </w:r>
      <w:proofErr w:type="gramEnd"/>
      <w:r w:rsidRPr="006307A7">
        <w:t xml:space="preserve"> overvalued or undervalued. It highlights the sensitivity of property valuation to the perceived value of the building.</w:t>
      </w:r>
      <w:r>
        <w:t xml:space="preserve"> </w:t>
      </w:r>
    </w:p>
    <w:p w:rsidR="00F755D1" w:rsidRDefault="00F755D1" w:rsidP="009D0751">
      <w:r>
        <w:t xml:space="preserve">Multiple Parcels Involved in Sale: The negative coefficient suggests that sales involving multiple parcels are less likely to be </w:t>
      </w:r>
      <w:proofErr w:type="gramStart"/>
      <w:r>
        <w:t>overvalued</w:t>
      </w:r>
      <w:proofErr w:type="gramEnd"/>
      <w:r>
        <w:t xml:space="preserve"> or undervalued.</w:t>
      </w:r>
    </w:p>
    <w:p w:rsidR="00596CCB" w:rsidRDefault="00596CCB" w:rsidP="009D0751">
      <w:r>
        <w:t>Decision Tree Model:</w:t>
      </w:r>
      <w:r w:rsidRPr="00596CCB">
        <w:t xml:space="preserve"> </w:t>
      </w:r>
    </w:p>
    <w:p w:rsidR="00596CCB" w:rsidRDefault="00596CCB" w:rsidP="009D0751">
      <w:r>
        <w:t>T</w:t>
      </w:r>
      <w:r w:rsidRPr="00596CCB">
        <w:t>his model is particularly good at capturing complex patterns that may not be apparent or easily modeled by a logistic regression.</w:t>
      </w:r>
      <w:r>
        <w:t xml:space="preserve"> </w:t>
      </w:r>
      <w:r w:rsidRPr="00596CCB">
        <w:t xml:space="preserve">The decision tree identified 'Building Value', 'Sold </w:t>
      </w:r>
      <w:proofErr w:type="gramStart"/>
      <w:r w:rsidRPr="00596CCB">
        <w:t>As</w:t>
      </w:r>
      <w:proofErr w:type="gramEnd"/>
      <w:r w:rsidRPr="00596CCB">
        <w:t xml:space="preserve"> Vacant', and 'Land Value' as the top three features impacting predictions, with </w:t>
      </w:r>
      <w:r>
        <w:t>the importance</w:t>
      </w:r>
      <w:r w:rsidRPr="00596CCB">
        <w:t xml:space="preserve"> of 0.377472, 0.353467, and 0.241714, respectively.</w:t>
      </w:r>
    </w:p>
    <w:p w:rsidR="00596CCB" w:rsidRDefault="00596CCB" w:rsidP="009D0751">
      <w:r>
        <w:t>T</w:t>
      </w:r>
      <w:r w:rsidRPr="00596CCB">
        <w:t xml:space="preserve">he decision tree has identified similar key features as the logistic regression model and has higher </w:t>
      </w:r>
      <w:proofErr w:type="gramStart"/>
      <w:r w:rsidRPr="00596CCB">
        <w:t>accuracy,</w:t>
      </w:r>
      <w:proofErr w:type="gramEnd"/>
      <w:r w:rsidRPr="00596CCB">
        <w:t xml:space="preserve"> its practical effectiveness in the context of the Nashville real estate market may be limited due to its low recall and ROC_AUC scores.</w:t>
      </w:r>
    </w:p>
    <w:p w:rsidR="00596CCB" w:rsidRDefault="00596CCB" w:rsidP="009D0751">
      <w:r>
        <w:t xml:space="preserve">Random Forest Method: </w:t>
      </w:r>
    </w:p>
    <w:p w:rsidR="00596CCB" w:rsidRDefault="00596CCB" w:rsidP="009D0751">
      <w:r w:rsidRPr="00596CCB">
        <w:t>The Random Forest model provides a nuanced view of the Nashville real estate market, with its ensemble approach capturing complex interactions between features</w:t>
      </w:r>
      <w:r w:rsidR="003D734B">
        <w:t xml:space="preserve">. </w:t>
      </w:r>
      <w:r w:rsidR="003D734B" w:rsidRPr="003D734B">
        <w:t xml:space="preserve">The model identified 'Building Value', 'Sold </w:t>
      </w:r>
      <w:proofErr w:type="gramStart"/>
      <w:r w:rsidR="003D734B" w:rsidRPr="003D734B">
        <w:t>As</w:t>
      </w:r>
      <w:proofErr w:type="gramEnd"/>
      <w:r w:rsidR="003D734B" w:rsidRPr="003D734B">
        <w:t xml:space="preserve"> Vacant', and 'Land Value' as the top three features by importance, consistent with the previous models. This consistency underscores the strong influence these variables have on property valuation.</w:t>
      </w:r>
      <w:r w:rsidR="003D734B">
        <w:t xml:space="preserve"> The performance metrics show model is not effective in predicting true positive cases.</w:t>
      </w:r>
    </w:p>
    <w:p w:rsidR="003D734B" w:rsidRDefault="003D734B" w:rsidP="009D0751">
      <w:r>
        <w:t>Comparison with Decision Tree and Logistic Regression Models</w:t>
      </w:r>
    </w:p>
    <w:p w:rsidR="003D734B" w:rsidRDefault="003D734B" w:rsidP="009D0751">
      <w:r>
        <w:t>Improved Accuracy: The Random Forest model shows a marginal improvement in accuracy over the Decision Tree model, which may be due to the ensemble nature of Random Forests, where the aggregation of predictions from many trees tends to increase overall accuracy.</w:t>
      </w:r>
    </w:p>
    <w:p w:rsidR="003D734B" w:rsidRDefault="003D734B" w:rsidP="009D0751">
      <w:r>
        <w:t>Precision and Recall: Unlike the Decision Tree model, the Random Forest model has a significantly higher precision but much lower recall. This implies that while it is more confident in its positive predictions, it fails to capture a large proportion of the actual positive cases.</w:t>
      </w:r>
    </w:p>
    <w:p w:rsidR="003D734B" w:rsidRDefault="003D734B" w:rsidP="009D0751">
      <w:r>
        <w:t>Feature Importance Alignment: The Random Forest and the Decision Tree models align in identifying the most important features, suggesting these factors are robust predictors across different model types.</w:t>
      </w:r>
    </w:p>
    <w:p w:rsidR="00FB69FE" w:rsidRDefault="009B78AA" w:rsidP="009D0751">
      <w:r>
        <w:lastRenderedPageBreak/>
        <w:t>Gra</w:t>
      </w:r>
      <w:r w:rsidR="00FB69FE">
        <w:t>dient Boosting:</w:t>
      </w:r>
    </w:p>
    <w:p w:rsidR="006307A7" w:rsidRDefault="00FB69FE" w:rsidP="009D0751">
      <w:r w:rsidRPr="00FB69FE">
        <w:t xml:space="preserve"> The Gradient Boost model </w:t>
      </w:r>
      <w:proofErr w:type="gramStart"/>
      <w:r w:rsidRPr="00FB69FE">
        <w:t>was implemented</w:t>
      </w:r>
      <w:proofErr w:type="gramEnd"/>
      <w:r w:rsidRPr="00FB69FE">
        <w:t xml:space="preserve"> to predict the binary classification of Nashville real estate as overvalued or undervalued. Gradient Boosting </w:t>
      </w:r>
      <w:proofErr w:type="gramStart"/>
      <w:r w:rsidRPr="00FB69FE">
        <w:t>is known</w:t>
      </w:r>
      <w:proofErr w:type="gramEnd"/>
      <w:r w:rsidRPr="00FB69FE">
        <w:t xml:space="preserve"> for its high performance, particularly in handling complex datasets with non-linear relationships</w:t>
      </w:r>
      <w:r>
        <w:t xml:space="preserve">. </w:t>
      </w:r>
      <w:r w:rsidRPr="00FB69FE">
        <w:t xml:space="preserve">The model assigned the greatest importance to 'Building Value', 'Land Value', and 'Sold </w:t>
      </w:r>
      <w:proofErr w:type="gramStart"/>
      <w:r w:rsidRPr="00FB69FE">
        <w:t>As</w:t>
      </w:r>
      <w:proofErr w:type="gramEnd"/>
      <w:r w:rsidRPr="00FB69FE">
        <w:t xml:space="preserve"> Vacant', indicating these as the most influential predictors for the valuation status of properties</w:t>
      </w:r>
      <w:r>
        <w:t xml:space="preserve">. </w:t>
      </w:r>
      <w:r w:rsidRPr="00FB69FE">
        <w:t xml:space="preserve">The model achieves an accuracy of 75.7% recall rate of 7.11%, precision of 50.4% and ROC_AUC </w:t>
      </w:r>
      <w:proofErr w:type="spellStart"/>
      <w:r w:rsidRPr="00FB69FE">
        <w:t>socre</w:t>
      </w:r>
      <w:proofErr w:type="spellEnd"/>
      <w:r w:rsidRPr="00FB69FE">
        <w:t xml:space="preserve"> of 52.43%. The MSE model is 24.3%</w:t>
      </w:r>
      <w:r>
        <w:t>.</w:t>
      </w:r>
    </w:p>
    <w:p w:rsidR="00FB69FE" w:rsidRDefault="00FB69FE" w:rsidP="009D0751">
      <w:r>
        <w:t>Comparison with Other Models</w:t>
      </w:r>
    </w:p>
    <w:p w:rsidR="00FB69FE" w:rsidRDefault="00FB69FE" w:rsidP="009D0751">
      <w:r>
        <w:t>Accuracy and Recall: The Gradient Boost model has a similar accuracy to the Random Forest model, but like the Decision Tree and Random Forest, it struggles with recall.</w:t>
      </w:r>
    </w:p>
    <w:p w:rsidR="00FB69FE" w:rsidRDefault="00FB69FE" w:rsidP="009D0751">
      <w:r>
        <w:t>Precision: The precision is slightly better than that of the Decision Tree model but lower than the Random Forest model, showing a moderate level of reliability in its positive predictions.</w:t>
      </w:r>
    </w:p>
    <w:p w:rsidR="00FB69FE" w:rsidRDefault="00FB69FE" w:rsidP="009D0751">
      <w:r>
        <w:t>ROC_AUC: The ROC_AUC score is comparable to the Decision Tree and Random Forest models, suggesting similar abilities across these models.</w:t>
      </w:r>
    </w:p>
    <w:p w:rsidR="00FB69FE" w:rsidRDefault="00606C4B" w:rsidP="009D0751">
      <w:r w:rsidRPr="00606C4B">
        <w:t>The Gradient Boost model demonstrates a balance between accuracy and precision in predicting property valuation statuses in Nashville. However, the low recall indicates a potential issue in identifying all relevant cases, which could be critical depending on the business context. The consistency in the most important features across different models suggests these variables are key drivers of property valuation and should be focal points for real estate analysis and investment decision-making</w:t>
      </w:r>
      <w:r>
        <w:t>.</w:t>
      </w:r>
    </w:p>
    <w:p w:rsidR="009238F0" w:rsidRPr="00A60F5D" w:rsidRDefault="00A60F5D" w:rsidP="00A60F5D">
      <w:pPr>
        <w:jc w:val="center"/>
        <w:rPr>
          <w:b/>
        </w:rPr>
      </w:pPr>
      <w:r>
        <w:rPr>
          <w:b/>
        </w:rPr>
        <w:t>Conclusion</w:t>
      </w:r>
    </w:p>
    <w:p w:rsidR="004035FB" w:rsidRDefault="004035FB" w:rsidP="004035FB">
      <w:r>
        <w:t xml:space="preserve">Given the company's objective to find the best value deals, which likely means prioritizing the identification of truly overvalued or undervalued properties (high recall), the Decision Tree model might be the initial choice due to its highest recall. However, its lower precision compared to the Random Forest model means that it would generate more false positives, which could increase the cost and time spent on investigating properties that are </w:t>
      </w:r>
      <w:proofErr w:type="gramStart"/>
      <w:r>
        <w:t>not mispriced</w:t>
      </w:r>
      <w:proofErr w:type="gramEnd"/>
      <w:r>
        <w:t>.</w:t>
      </w:r>
    </w:p>
    <w:p w:rsidR="004035FB" w:rsidRDefault="004035FB" w:rsidP="004035FB">
      <w:r>
        <w:t>If the company wants to minimize the risk of investing time and resources into properties that are not the best deals (high precision), then the Random Forest model would be the preferred choice. It offers the best balance of accuracy, precision, and reliability of predictions, although it may miss some true positives.</w:t>
      </w:r>
    </w:p>
    <w:p w:rsidR="004035FB" w:rsidRDefault="004035FB" w:rsidP="004035FB">
      <w:r>
        <w:t>A potential strategy could be to use the Gradient Boost model to strike a balance between identifying true deals and ensuring the identified deals are likely to be correct. It offers an intermediate level of recall and precision, which might suit the company's need to balance the quantity and quality of investment opportunities.</w:t>
      </w:r>
    </w:p>
    <w:p w:rsidR="006307A7" w:rsidRDefault="004035FB" w:rsidP="004035FB">
      <w:r>
        <w:t>The decision should also consider the operational costs associated with each model's false positives and false negatives.</w:t>
      </w:r>
    </w:p>
    <w:p w:rsidR="005D1728" w:rsidRPr="005D1728" w:rsidRDefault="002543DC" w:rsidP="005D1728">
      <w:pPr>
        <w:jc w:val="center"/>
        <w:rPr>
          <w:b/>
        </w:rPr>
      </w:pPr>
      <w:r w:rsidRPr="005D1728">
        <w:rPr>
          <w:b/>
        </w:rPr>
        <w:t xml:space="preserve">Bibliography: </w:t>
      </w:r>
    </w:p>
    <w:p w:rsidR="002543DC" w:rsidRPr="005E1F27" w:rsidRDefault="002543DC" w:rsidP="005E1F27">
      <w:r w:rsidRPr="005E1F27">
        <w:t>Canvas Resources, Aly6020 Predictive Analytics: Northeastern University (2023)</w:t>
      </w:r>
    </w:p>
    <w:p w:rsidR="00390850" w:rsidRDefault="003D4B85" w:rsidP="009D0751">
      <w:r>
        <w:lastRenderedPageBreak/>
        <w:t xml:space="preserve">Annexures: </w:t>
      </w:r>
    </w:p>
    <w:tbl>
      <w:tblPr>
        <w:tblStyle w:val="TableGrid"/>
        <w:tblW w:w="0" w:type="auto"/>
        <w:tblLook w:val="04A0" w:firstRow="1" w:lastRow="0" w:firstColumn="1" w:lastColumn="0" w:noHBand="0" w:noVBand="1"/>
      </w:tblPr>
      <w:tblGrid>
        <w:gridCol w:w="1870"/>
        <w:gridCol w:w="1870"/>
        <w:gridCol w:w="1870"/>
        <w:gridCol w:w="1870"/>
        <w:gridCol w:w="1870"/>
      </w:tblGrid>
      <w:tr w:rsidR="003D4B85" w:rsidRPr="00FC4BFB" w:rsidTr="00837D40">
        <w:tc>
          <w:tcPr>
            <w:tcW w:w="1870" w:type="dxa"/>
            <w:vAlign w:val="center"/>
          </w:tcPr>
          <w:p w:rsidR="003D4B85" w:rsidRPr="00344958" w:rsidRDefault="003D4B85" w:rsidP="003D4B85">
            <w:pPr>
              <w:rPr>
                <w:rFonts w:eastAsia="Times New Roman" w:cs="Times New Roman"/>
                <w:sz w:val="18"/>
                <w:szCs w:val="18"/>
              </w:rPr>
            </w:pPr>
            <w:r w:rsidRPr="00FC4BFB">
              <w:rPr>
                <w:rFonts w:eastAsia="Times New Roman" w:cs="Times New Roman"/>
                <w:sz w:val="18"/>
                <w:szCs w:val="18"/>
              </w:rPr>
              <w:t>Logistic Model</w:t>
            </w:r>
          </w:p>
        </w:tc>
        <w:tc>
          <w:tcPr>
            <w:tcW w:w="1870" w:type="dxa"/>
            <w:vAlign w:val="center"/>
          </w:tcPr>
          <w:p w:rsidR="003D4B85" w:rsidRPr="00344958" w:rsidRDefault="003D4B85" w:rsidP="003D4B85">
            <w:pPr>
              <w:spacing w:before="240"/>
              <w:rPr>
                <w:rFonts w:eastAsia="Times New Roman" w:cs="Helvetica"/>
                <w:bCs/>
                <w:color w:val="000000"/>
                <w:sz w:val="18"/>
                <w:szCs w:val="18"/>
              </w:rPr>
            </w:pPr>
            <w:r w:rsidRPr="00344958">
              <w:rPr>
                <w:rFonts w:eastAsia="Times New Roman" w:cs="Helvetica"/>
                <w:bCs/>
                <w:color w:val="000000"/>
                <w:sz w:val="18"/>
                <w:szCs w:val="18"/>
              </w:rPr>
              <w:t>Coefficient</w:t>
            </w:r>
          </w:p>
        </w:tc>
        <w:tc>
          <w:tcPr>
            <w:tcW w:w="1870" w:type="dxa"/>
            <w:vAlign w:val="center"/>
          </w:tcPr>
          <w:p w:rsidR="003D4B85" w:rsidRPr="00344958" w:rsidRDefault="003D4B85" w:rsidP="003D4B85">
            <w:pPr>
              <w:spacing w:before="240"/>
              <w:rPr>
                <w:rFonts w:eastAsia="Times New Roman" w:cs="Helvetica"/>
                <w:bCs/>
                <w:color w:val="000000"/>
                <w:sz w:val="18"/>
                <w:szCs w:val="18"/>
              </w:rPr>
            </w:pPr>
            <w:r w:rsidRPr="00344958">
              <w:rPr>
                <w:rFonts w:eastAsia="Times New Roman" w:cs="Helvetica"/>
                <w:bCs/>
                <w:color w:val="000000"/>
                <w:sz w:val="18"/>
                <w:szCs w:val="18"/>
              </w:rPr>
              <w:t>Odds Ratio</w:t>
            </w:r>
          </w:p>
        </w:tc>
        <w:tc>
          <w:tcPr>
            <w:tcW w:w="1870" w:type="dxa"/>
            <w:vAlign w:val="center"/>
          </w:tcPr>
          <w:p w:rsidR="003D4B85" w:rsidRPr="00344958" w:rsidRDefault="003D4B85" w:rsidP="003D4B85">
            <w:pPr>
              <w:spacing w:before="240"/>
              <w:rPr>
                <w:rFonts w:eastAsia="Times New Roman" w:cs="Helvetica"/>
                <w:bCs/>
                <w:color w:val="000000"/>
                <w:sz w:val="18"/>
                <w:szCs w:val="18"/>
              </w:rPr>
            </w:pPr>
            <w:r w:rsidRPr="00344958">
              <w:rPr>
                <w:rFonts w:eastAsia="Times New Roman" w:cs="Helvetica"/>
                <w:bCs/>
                <w:color w:val="000000"/>
                <w:sz w:val="18"/>
                <w:szCs w:val="18"/>
              </w:rPr>
              <w:t>Percent Change</w:t>
            </w:r>
          </w:p>
        </w:tc>
        <w:tc>
          <w:tcPr>
            <w:tcW w:w="1870" w:type="dxa"/>
            <w:vAlign w:val="center"/>
          </w:tcPr>
          <w:p w:rsidR="003D4B85" w:rsidRPr="00344958" w:rsidRDefault="003D4B85" w:rsidP="003D4B85">
            <w:pPr>
              <w:spacing w:before="240"/>
              <w:rPr>
                <w:rFonts w:eastAsia="Times New Roman" w:cs="Helvetica"/>
                <w:bCs/>
                <w:color w:val="000000"/>
                <w:sz w:val="18"/>
                <w:szCs w:val="18"/>
              </w:rPr>
            </w:pPr>
            <w:r w:rsidRPr="00344958">
              <w:rPr>
                <w:rFonts w:eastAsia="Times New Roman" w:cs="Helvetica"/>
                <w:bCs/>
                <w:color w:val="000000"/>
                <w:sz w:val="18"/>
                <w:szCs w:val="18"/>
              </w:rPr>
              <w:t>P-Value</w:t>
            </w:r>
          </w:p>
        </w:tc>
      </w:tr>
      <w:tr w:rsidR="003D4B85" w:rsidRPr="00FC4BFB" w:rsidTr="00837D40">
        <w:tc>
          <w:tcPr>
            <w:tcW w:w="1870" w:type="dxa"/>
            <w:vAlign w:val="center"/>
          </w:tcPr>
          <w:p w:rsidR="003D4B85" w:rsidRPr="00344958" w:rsidRDefault="003D4B85" w:rsidP="003D4B85">
            <w:pPr>
              <w:spacing w:before="240"/>
              <w:rPr>
                <w:rFonts w:eastAsia="Times New Roman" w:cs="Helvetica"/>
                <w:bCs/>
                <w:color w:val="000000"/>
                <w:sz w:val="18"/>
                <w:szCs w:val="18"/>
              </w:rPr>
            </w:pPr>
            <w:proofErr w:type="spellStart"/>
            <w:r w:rsidRPr="00344958">
              <w:rPr>
                <w:rFonts w:eastAsia="Times New Roman" w:cs="Helvetica"/>
                <w:bCs/>
                <w:color w:val="000000"/>
                <w:sz w:val="18"/>
                <w:szCs w:val="18"/>
              </w:rPr>
              <w:t>const</w:t>
            </w:r>
            <w:proofErr w:type="spellEnd"/>
          </w:p>
        </w:tc>
        <w:tc>
          <w:tcPr>
            <w:tcW w:w="1870" w:type="dxa"/>
            <w:vAlign w:val="center"/>
          </w:tcPr>
          <w:p w:rsidR="003D4B85" w:rsidRPr="00344958" w:rsidRDefault="003D4B85" w:rsidP="003D4B85">
            <w:pPr>
              <w:spacing w:before="240"/>
              <w:rPr>
                <w:rFonts w:eastAsia="Times New Roman" w:cs="Helvetica"/>
                <w:color w:val="000000"/>
                <w:sz w:val="18"/>
                <w:szCs w:val="18"/>
              </w:rPr>
            </w:pPr>
            <w:r w:rsidRPr="00344958">
              <w:rPr>
                <w:rFonts w:eastAsia="Times New Roman" w:cs="Helvetica"/>
                <w:color w:val="000000"/>
                <w:sz w:val="18"/>
                <w:szCs w:val="18"/>
              </w:rPr>
              <w:t>-1.128900</w:t>
            </w:r>
          </w:p>
        </w:tc>
        <w:tc>
          <w:tcPr>
            <w:tcW w:w="1870" w:type="dxa"/>
            <w:vAlign w:val="center"/>
          </w:tcPr>
          <w:p w:rsidR="003D4B85" w:rsidRPr="00344958" w:rsidRDefault="003D4B85" w:rsidP="003D4B85">
            <w:pPr>
              <w:spacing w:before="240"/>
              <w:rPr>
                <w:rFonts w:eastAsia="Times New Roman" w:cs="Helvetica"/>
                <w:color w:val="000000"/>
                <w:sz w:val="18"/>
                <w:szCs w:val="18"/>
              </w:rPr>
            </w:pPr>
            <w:r w:rsidRPr="00344958">
              <w:rPr>
                <w:rFonts w:eastAsia="Times New Roman" w:cs="Helvetica"/>
                <w:color w:val="000000"/>
                <w:sz w:val="18"/>
                <w:szCs w:val="18"/>
              </w:rPr>
              <w:t>0.323389</w:t>
            </w:r>
          </w:p>
        </w:tc>
        <w:tc>
          <w:tcPr>
            <w:tcW w:w="1870" w:type="dxa"/>
            <w:vAlign w:val="center"/>
          </w:tcPr>
          <w:p w:rsidR="003D4B85" w:rsidRPr="00344958" w:rsidRDefault="003D4B85" w:rsidP="003D4B85">
            <w:pPr>
              <w:spacing w:before="240"/>
              <w:rPr>
                <w:rFonts w:eastAsia="Times New Roman" w:cs="Helvetica"/>
                <w:color w:val="000000"/>
                <w:sz w:val="18"/>
                <w:szCs w:val="18"/>
              </w:rPr>
            </w:pPr>
            <w:r w:rsidRPr="00344958">
              <w:rPr>
                <w:rFonts w:eastAsia="Times New Roman" w:cs="Helvetica"/>
                <w:color w:val="000000"/>
                <w:sz w:val="18"/>
                <w:szCs w:val="18"/>
              </w:rPr>
              <w:t>-67.661136</w:t>
            </w:r>
          </w:p>
        </w:tc>
        <w:tc>
          <w:tcPr>
            <w:tcW w:w="1870" w:type="dxa"/>
            <w:vAlign w:val="center"/>
          </w:tcPr>
          <w:p w:rsidR="003D4B85" w:rsidRPr="00344958" w:rsidRDefault="003D4B85" w:rsidP="003D4B85">
            <w:pPr>
              <w:spacing w:before="240"/>
              <w:rPr>
                <w:rFonts w:eastAsia="Times New Roman" w:cs="Helvetica"/>
                <w:color w:val="000000"/>
                <w:sz w:val="18"/>
                <w:szCs w:val="18"/>
              </w:rPr>
            </w:pPr>
            <w:r w:rsidRPr="00344958">
              <w:rPr>
                <w:rFonts w:eastAsia="Times New Roman" w:cs="Helvetica"/>
                <w:color w:val="000000"/>
                <w:sz w:val="18"/>
                <w:szCs w:val="18"/>
              </w:rPr>
              <w:t>8.295121e-31</w:t>
            </w:r>
          </w:p>
        </w:tc>
      </w:tr>
      <w:tr w:rsidR="003D4B85" w:rsidRPr="00FC4BFB" w:rsidTr="00837D40">
        <w:tc>
          <w:tcPr>
            <w:tcW w:w="1870" w:type="dxa"/>
            <w:vAlign w:val="center"/>
          </w:tcPr>
          <w:p w:rsidR="003D4B85" w:rsidRPr="00344958" w:rsidRDefault="003D4B85" w:rsidP="003D4B85">
            <w:pPr>
              <w:spacing w:before="240"/>
              <w:rPr>
                <w:rFonts w:eastAsia="Times New Roman" w:cs="Helvetica"/>
                <w:bCs/>
                <w:color w:val="000000"/>
                <w:sz w:val="18"/>
                <w:szCs w:val="18"/>
              </w:rPr>
            </w:pPr>
            <w:r w:rsidRPr="00344958">
              <w:rPr>
                <w:rFonts w:eastAsia="Times New Roman" w:cs="Helvetica"/>
                <w:bCs/>
                <w:color w:val="000000"/>
                <w:sz w:val="18"/>
                <w:szCs w:val="18"/>
              </w:rPr>
              <w:t>Building Value</w:t>
            </w:r>
          </w:p>
        </w:tc>
        <w:tc>
          <w:tcPr>
            <w:tcW w:w="1870" w:type="dxa"/>
            <w:vAlign w:val="center"/>
          </w:tcPr>
          <w:p w:rsidR="003D4B85" w:rsidRPr="00344958" w:rsidRDefault="003D4B85" w:rsidP="003D4B85">
            <w:pPr>
              <w:spacing w:before="240"/>
              <w:rPr>
                <w:rFonts w:eastAsia="Times New Roman" w:cs="Helvetica"/>
                <w:color w:val="000000"/>
                <w:sz w:val="18"/>
                <w:szCs w:val="18"/>
              </w:rPr>
            </w:pPr>
            <w:r w:rsidRPr="00344958">
              <w:rPr>
                <w:rFonts w:eastAsia="Times New Roman" w:cs="Helvetica"/>
                <w:color w:val="000000"/>
                <w:sz w:val="18"/>
                <w:szCs w:val="18"/>
              </w:rPr>
              <w:t>0.000001</w:t>
            </w:r>
          </w:p>
        </w:tc>
        <w:tc>
          <w:tcPr>
            <w:tcW w:w="1870" w:type="dxa"/>
            <w:vAlign w:val="center"/>
          </w:tcPr>
          <w:p w:rsidR="003D4B85" w:rsidRPr="00344958" w:rsidRDefault="003D4B85" w:rsidP="003D4B85">
            <w:pPr>
              <w:spacing w:before="240"/>
              <w:rPr>
                <w:rFonts w:eastAsia="Times New Roman" w:cs="Helvetica"/>
                <w:color w:val="000000"/>
                <w:sz w:val="18"/>
                <w:szCs w:val="18"/>
              </w:rPr>
            </w:pPr>
            <w:r w:rsidRPr="00344958">
              <w:rPr>
                <w:rFonts w:eastAsia="Times New Roman" w:cs="Helvetica"/>
                <w:color w:val="000000"/>
                <w:sz w:val="18"/>
                <w:szCs w:val="18"/>
              </w:rPr>
              <w:t>1.000001</w:t>
            </w:r>
          </w:p>
        </w:tc>
        <w:tc>
          <w:tcPr>
            <w:tcW w:w="1870" w:type="dxa"/>
            <w:vAlign w:val="center"/>
          </w:tcPr>
          <w:p w:rsidR="003D4B85" w:rsidRPr="00344958" w:rsidRDefault="003D4B85" w:rsidP="003D4B85">
            <w:pPr>
              <w:spacing w:before="240"/>
              <w:rPr>
                <w:rFonts w:eastAsia="Times New Roman" w:cs="Helvetica"/>
                <w:color w:val="000000"/>
                <w:sz w:val="18"/>
                <w:szCs w:val="18"/>
              </w:rPr>
            </w:pPr>
            <w:r w:rsidRPr="00344958">
              <w:rPr>
                <w:rFonts w:eastAsia="Times New Roman" w:cs="Helvetica"/>
                <w:color w:val="000000"/>
                <w:sz w:val="18"/>
                <w:szCs w:val="18"/>
              </w:rPr>
              <w:t>0.000142</w:t>
            </w:r>
          </w:p>
        </w:tc>
        <w:tc>
          <w:tcPr>
            <w:tcW w:w="1870" w:type="dxa"/>
            <w:vAlign w:val="center"/>
          </w:tcPr>
          <w:p w:rsidR="003D4B85" w:rsidRPr="00344958" w:rsidRDefault="003D4B85" w:rsidP="003D4B85">
            <w:pPr>
              <w:spacing w:before="240"/>
              <w:rPr>
                <w:rFonts w:eastAsia="Times New Roman" w:cs="Helvetica"/>
                <w:color w:val="000000"/>
                <w:sz w:val="18"/>
                <w:szCs w:val="18"/>
              </w:rPr>
            </w:pPr>
            <w:r w:rsidRPr="00344958">
              <w:rPr>
                <w:rFonts w:eastAsia="Times New Roman" w:cs="Helvetica"/>
                <w:color w:val="000000"/>
                <w:sz w:val="18"/>
                <w:szCs w:val="18"/>
              </w:rPr>
              <w:t>5.049526e-24</w:t>
            </w:r>
          </w:p>
        </w:tc>
      </w:tr>
      <w:tr w:rsidR="003D4B85" w:rsidRPr="00FC4BFB" w:rsidTr="00837D40">
        <w:tc>
          <w:tcPr>
            <w:tcW w:w="1870" w:type="dxa"/>
            <w:vAlign w:val="center"/>
          </w:tcPr>
          <w:p w:rsidR="003D4B85" w:rsidRPr="00344958" w:rsidRDefault="003D4B85" w:rsidP="003D4B85">
            <w:pPr>
              <w:spacing w:before="240"/>
              <w:rPr>
                <w:rFonts w:eastAsia="Times New Roman" w:cs="Helvetica"/>
                <w:bCs/>
                <w:color w:val="000000"/>
                <w:sz w:val="18"/>
                <w:szCs w:val="18"/>
              </w:rPr>
            </w:pPr>
            <w:r w:rsidRPr="00344958">
              <w:rPr>
                <w:rFonts w:eastAsia="Times New Roman" w:cs="Helvetica"/>
                <w:bCs/>
                <w:color w:val="000000"/>
                <w:sz w:val="18"/>
                <w:szCs w:val="18"/>
              </w:rPr>
              <w:t>Sold As Vacant</w:t>
            </w:r>
          </w:p>
        </w:tc>
        <w:tc>
          <w:tcPr>
            <w:tcW w:w="1870" w:type="dxa"/>
            <w:vAlign w:val="center"/>
          </w:tcPr>
          <w:p w:rsidR="003D4B85" w:rsidRPr="00344958" w:rsidRDefault="003D4B85" w:rsidP="003D4B85">
            <w:pPr>
              <w:spacing w:before="240"/>
              <w:rPr>
                <w:rFonts w:eastAsia="Times New Roman" w:cs="Helvetica"/>
                <w:color w:val="000000"/>
                <w:sz w:val="18"/>
                <w:szCs w:val="18"/>
              </w:rPr>
            </w:pPr>
            <w:r w:rsidRPr="00344958">
              <w:rPr>
                <w:rFonts w:eastAsia="Times New Roman" w:cs="Helvetica"/>
                <w:color w:val="000000"/>
                <w:sz w:val="18"/>
                <w:szCs w:val="18"/>
              </w:rPr>
              <w:t>3.376952</w:t>
            </w:r>
          </w:p>
        </w:tc>
        <w:tc>
          <w:tcPr>
            <w:tcW w:w="1870" w:type="dxa"/>
            <w:vAlign w:val="center"/>
          </w:tcPr>
          <w:p w:rsidR="003D4B85" w:rsidRPr="00344958" w:rsidRDefault="003D4B85" w:rsidP="003D4B85">
            <w:pPr>
              <w:spacing w:before="240"/>
              <w:rPr>
                <w:rFonts w:eastAsia="Times New Roman" w:cs="Helvetica"/>
                <w:color w:val="000000"/>
                <w:sz w:val="18"/>
                <w:szCs w:val="18"/>
              </w:rPr>
            </w:pPr>
            <w:r w:rsidRPr="00344958">
              <w:rPr>
                <w:rFonts w:eastAsia="Times New Roman" w:cs="Helvetica"/>
                <w:color w:val="000000"/>
                <w:sz w:val="18"/>
                <w:szCs w:val="18"/>
              </w:rPr>
              <w:t>29.281394</w:t>
            </w:r>
          </w:p>
        </w:tc>
        <w:tc>
          <w:tcPr>
            <w:tcW w:w="1870" w:type="dxa"/>
            <w:vAlign w:val="center"/>
          </w:tcPr>
          <w:p w:rsidR="003D4B85" w:rsidRPr="00344958" w:rsidRDefault="003D4B85" w:rsidP="003D4B85">
            <w:pPr>
              <w:spacing w:before="240"/>
              <w:rPr>
                <w:rFonts w:eastAsia="Times New Roman" w:cs="Helvetica"/>
                <w:color w:val="000000"/>
                <w:sz w:val="18"/>
                <w:szCs w:val="18"/>
              </w:rPr>
            </w:pPr>
            <w:r w:rsidRPr="00344958">
              <w:rPr>
                <w:rFonts w:eastAsia="Times New Roman" w:cs="Helvetica"/>
                <w:color w:val="000000"/>
                <w:sz w:val="18"/>
                <w:szCs w:val="18"/>
              </w:rPr>
              <w:t>2828.139448</w:t>
            </w:r>
          </w:p>
        </w:tc>
        <w:tc>
          <w:tcPr>
            <w:tcW w:w="1870" w:type="dxa"/>
            <w:vAlign w:val="center"/>
          </w:tcPr>
          <w:p w:rsidR="003D4B85" w:rsidRPr="00344958" w:rsidRDefault="003D4B85" w:rsidP="003D4B85">
            <w:pPr>
              <w:spacing w:before="240"/>
              <w:rPr>
                <w:rFonts w:eastAsia="Times New Roman" w:cs="Helvetica"/>
                <w:color w:val="000000"/>
                <w:sz w:val="18"/>
                <w:szCs w:val="18"/>
              </w:rPr>
            </w:pPr>
            <w:r w:rsidRPr="00344958">
              <w:rPr>
                <w:rFonts w:eastAsia="Times New Roman" w:cs="Helvetica"/>
                <w:color w:val="000000"/>
                <w:sz w:val="18"/>
                <w:szCs w:val="18"/>
              </w:rPr>
              <w:t>1.370836e-19</w:t>
            </w:r>
          </w:p>
        </w:tc>
      </w:tr>
      <w:tr w:rsidR="003D4B85" w:rsidRPr="00FC4BFB" w:rsidTr="00837D40">
        <w:tc>
          <w:tcPr>
            <w:tcW w:w="1870" w:type="dxa"/>
            <w:vAlign w:val="center"/>
          </w:tcPr>
          <w:p w:rsidR="003D4B85" w:rsidRPr="00344958" w:rsidRDefault="003D4B85" w:rsidP="003D4B85">
            <w:pPr>
              <w:spacing w:before="240"/>
              <w:rPr>
                <w:rFonts w:eastAsia="Times New Roman" w:cs="Helvetica"/>
                <w:bCs/>
                <w:color w:val="000000"/>
                <w:sz w:val="18"/>
                <w:szCs w:val="18"/>
              </w:rPr>
            </w:pPr>
            <w:r w:rsidRPr="00344958">
              <w:rPr>
                <w:rFonts w:eastAsia="Times New Roman" w:cs="Helvetica"/>
                <w:bCs/>
                <w:color w:val="000000"/>
                <w:sz w:val="18"/>
                <w:szCs w:val="18"/>
              </w:rPr>
              <w:t>Land Value</w:t>
            </w:r>
          </w:p>
        </w:tc>
        <w:tc>
          <w:tcPr>
            <w:tcW w:w="1870" w:type="dxa"/>
            <w:vAlign w:val="center"/>
          </w:tcPr>
          <w:p w:rsidR="003D4B85" w:rsidRPr="00344958" w:rsidRDefault="003D4B85" w:rsidP="003D4B85">
            <w:pPr>
              <w:spacing w:before="240"/>
              <w:rPr>
                <w:rFonts w:eastAsia="Times New Roman" w:cs="Helvetica"/>
                <w:color w:val="000000"/>
                <w:sz w:val="18"/>
                <w:szCs w:val="18"/>
              </w:rPr>
            </w:pPr>
            <w:r w:rsidRPr="00344958">
              <w:rPr>
                <w:rFonts w:eastAsia="Times New Roman" w:cs="Helvetica"/>
                <w:color w:val="000000"/>
                <w:sz w:val="18"/>
                <w:szCs w:val="18"/>
              </w:rPr>
              <w:t>-0.000001</w:t>
            </w:r>
          </w:p>
        </w:tc>
        <w:tc>
          <w:tcPr>
            <w:tcW w:w="1870" w:type="dxa"/>
            <w:vAlign w:val="center"/>
          </w:tcPr>
          <w:p w:rsidR="003D4B85" w:rsidRPr="00344958" w:rsidRDefault="003D4B85" w:rsidP="003D4B85">
            <w:pPr>
              <w:spacing w:before="240"/>
              <w:rPr>
                <w:rFonts w:eastAsia="Times New Roman" w:cs="Helvetica"/>
                <w:color w:val="000000"/>
                <w:sz w:val="18"/>
                <w:szCs w:val="18"/>
              </w:rPr>
            </w:pPr>
            <w:r w:rsidRPr="00344958">
              <w:rPr>
                <w:rFonts w:eastAsia="Times New Roman" w:cs="Helvetica"/>
                <w:color w:val="000000"/>
                <w:sz w:val="18"/>
                <w:szCs w:val="18"/>
              </w:rPr>
              <w:t>0.999999</w:t>
            </w:r>
          </w:p>
        </w:tc>
        <w:tc>
          <w:tcPr>
            <w:tcW w:w="1870" w:type="dxa"/>
            <w:vAlign w:val="center"/>
          </w:tcPr>
          <w:p w:rsidR="003D4B85" w:rsidRPr="00344958" w:rsidRDefault="003D4B85" w:rsidP="003D4B85">
            <w:pPr>
              <w:spacing w:before="240"/>
              <w:rPr>
                <w:rFonts w:eastAsia="Times New Roman" w:cs="Helvetica"/>
                <w:color w:val="000000"/>
                <w:sz w:val="18"/>
                <w:szCs w:val="18"/>
              </w:rPr>
            </w:pPr>
            <w:r w:rsidRPr="00344958">
              <w:rPr>
                <w:rFonts w:eastAsia="Times New Roman" w:cs="Helvetica"/>
                <w:color w:val="000000"/>
                <w:sz w:val="18"/>
                <w:szCs w:val="18"/>
              </w:rPr>
              <w:t>-0.000121</w:t>
            </w:r>
          </w:p>
        </w:tc>
        <w:tc>
          <w:tcPr>
            <w:tcW w:w="1870" w:type="dxa"/>
            <w:vAlign w:val="center"/>
          </w:tcPr>
          <w:p w:rsidR="003D4B85" w:rsidRPr="00344958" w:rsidRDefault="003D4B85" w:rsidP="003D4B85">
            <w:pPr>
              <w:spacing w:before="240"/>
              <w:rPr>
                <w:rFonts w:eastAsia="Times New Roman" w:cs="Helvetica"/>
                <w:color w:val="000000"/>
                <w:sz w:val="18"/>
                <w:szCs w:val="18"/>
              </w:rPr>
            </w:pPr>
            <w:r w:rsidRPr="00344958">
              <w:rPr>
                <w:rFonts w:eastAsia="Times New Roman" w:cs="Helvetica"/>
                <w:color w:val="000000"/>
                <w:sz w:val="18"/>
                <w:szCs w:val="18"/>
              </w:rPr>
              <w:t>2.795701e-06</w:t>
            </w:r>
          </w:p>
        </w:tc>
      </w:tr>
      <w:tr w:rsidR="003D4B85" w:rsidRPr="00FC4BFB" w:rsidTr="00837D40">
        <w:tc>
          <w:tcPr>
            <w:tcW w:w="1870" w:type="dxa"/>
            <w:vAlign w:val="center"/>
          </w:tcPr>
          <w:p w:rsidR="003D4B85" w:rsidRPr="00344958" w:rsidRDefault="003D4B85" w:rsidP="003D4B85">
            <w:pPr>
              <w:spacing w:before="240"/>
              <w:rPr>
                <w:rFonts w:eastAsia="Times New Roman" w:cs="Helvetica"/>
                <w:bCs/>
                <w:color w:val="000000"/>
                <w:sz w:val="18"/>
                <w:szCs w:val="18"/>
              </w:rPr>
            </w:pPr>
            <w:r w:rsidRPr="00344958">
              <w:rPr>
                <w:rFonts w:eastAsia="Times New Roman" w:cs="Helvetica"/>
                <w:bCs/>
                <w:color w:val="000000"/>
                <w:sz w:val="18"/>
                <w:szCs w:val="18"/>
              </w:rPr>
              <w:t>Multiple Parcels Involved in Sale</w:t>
            </w:r>
          </w:p>
        </w:tc>
        <w:tc>
          <w:tcPr>
            <w:tcW w:w="1870" w:type="dxa"/>
            <w:vAlign w:val="center"/>
          </w:tcPr>
          <w:p w:rsidR="003D4B85" w:rsidRPr="00344958" w:rsidRDefault="003D4B85" w:rsidP="003D4B85">
            <w:pPr>
              <w:spacing w:before="240"/>
              <w:rPr>
                <w:rFonts w:eastAsia="Times New Roman" w:cs="Helvetica"/>
                <w:color w:val="000000"/>
                <w:sz w:val="18"/>
                <w:szCs w:val="18"/>
              </w:rPr>
            </w:pPr>
            <w:r w:rsidRPr="00344958">
              <w:rPr>
                <w:rFonts w:eastAsia="Times New Roman" w:cs="Helvetica"/>
                <w:color w:val="000000"/>
                <w:sz w:val="18"/>
                <w:szCs w:val="18"/>
              </w:rPr>
              <w:t>-0.557364</w:t>
            </w:r>
          </w:p>
        </w:tc>
        <w:tc>
          <w:tcPr>
            <w:tcW w:w="1870" w:type="dxa"/>
            <w:vAlign w:val="center"/>
          </w:tcPr>
          <w:p w:rsidR="003D4B85" w:rsidRPr="00344958" w:rsidRDefault="003D4B85" w:rsidP="003D4B85">
            <w:pPr>
              <w:spacing w:before="240"/>
              <w:rPr>
                <w:rFonts w:eastAsia="Times New Roman" w:cs="Helvetica"/>
                <w:color w:val="000000"/>
                <w:sz w:val="18"/>
                <w:szCs w:val="18"/>
              </w:rPr>
            </w:pPr>
            <w:r w:rsidRPr="00344958">
              <w:rPr>
                <w:rFonts w:eastAsia="Times New Roman" w:cs="Helvetica"/>
                <w:color w:val="000000"/>
                <w:sz w:val="18"/>
                <w:szCs w:val="18"/>
              </w:rPr>
              <w:t>0.572717</w:t>
            </w:r>
          </w:p>
        </w:tc>
        <w:tc>
          <w:tcPr>
            <w:tcW w:w="1870" w:type="dxa"/>
            <w:vAlign w:val="center"/>
          </w:tcPr>
          <w:p w:rsidR="003D4B85" w:rsidRPr="00344958" w:rsidRDefault="003D4B85" w:rsidP="003D4B85">
            <w:pPr>
              <w:spacing w:before="240"/>
              <w:rPr>
                <w:rFonts w:eastAsia="Times New Roman" w:cs="Helvetica"/>
                <w:color w:val="000000"/>
                <w:sz w:val="18"/>
                <w:szCs w:val="18"/>
              </w:rPr>
            </w:pPr>
            <w:r w:rsidRPr="00344958">
              <w:rPr>
                <w:rFonts w:eastAsia="Times New Roman" w:cs="Helvetica"/>
                <w:color w:val="000000"/>
                <w:sz w:val="18"/>
                <w:szCs w:val="18"/>
              </w:rPr>
              <w:t>-42.728345</w:t>
            </w:r>
          </w:p>
        </w:tc>
        <w:tc>
          <w:tcPr>
            <w:tcW w:w="1870" w:type="dxa"/>
            <w:vAlign w:val="center"/>
          </w:tcPr>
          <w:p w:rsidR="003D4B85" w:rsidRPr="00344958" w:rsidRDefault="003D4B85" w:rsidP="003D4B85">
            <w:pPr>
              <w:spacing w:before="240"/>
              <w:rPr>
                <w:rFonts w:eastAsia="Times New Roman" w:cs="Helvetica"/>
                <w:color w:val="000000"/>
                <w:sz w:val="18"/>
                <w:szCs w:val="18"/>
              </w:rPr>
            </w:pPr>
            <w:r w:rsidRPr="00344958">
              <w:rPr>
                <w:rFonts w:eastAsia="Times New Roman" w:cs="Helvetica"/>
                <w:color w:val="000000"/>
                <w:sz w:val="18"/>
                <w:szCs w:val="18"/>
              </w:rPr>
              <w:t>6.789425e-04</w:t>
            </w:r>
          </w:p>
        </w:tc>
      </w:tr>
      <w:tr w:rsidR="003D4B85" w:rsidRPr="00FC4BFB" w:rsidTr="00837D40">
        <w:tc>
          <w:tcPr>
            <w:tcW w:w="1870" w:type="dxa"/>
            <w:vAlign w:val="center"/>
          </w:tcPr>
          <w:p w:rsidR="003D4B85" w:rsidRPr="00344958" w:rsidRDefault="003D4B85" w:rsidP="003D4B85">
            <w:pPr>
              <w:spacing w:before="240"/>
              <w:rPr>
                <w:rFonts w:eastAsia="Times New Roman" w:cs="Helvetica"/>
                <w:bCs/>
                <w:color w:val="000000"/>
                <w:sz w:val="18"/>
                <w:szCs w:val="18"/>
              </w:rPr>
            </w:pPr>
            <w:r w:rsidRPr="00344958">
              <w:rPr>
                <w:rFonts w:eastAsia="Times New Roman" w:cs="Helvetica"/>
                <w:bCs/>
                <w:color w:val="000000"/>
                <w:sz w:val="18"/>
                <w:szCs w:val="18"/>
              </w:rPr>
              <w:t>Acreage</w:t>
            </w:r>
          </w:p>
        </w:tc>
        <w:tc>
          <w:tcPr>
            <w:tcW w:w="1870" w:type="dxa"/>
            <w:vAlign w:val="center"/>
          </w:tcPr>
          <w:p w:rsidR="003D4B85" w:rsidRPr="00344958" w:rsidRDefault="003D4B85" w:rsidP="003D4B85">
            <w:pPr>
              <w:spacing w:before="240"/>
              <w:rPr>
                <w:rFonts w:eastAsia="Times New Roman" w:cs="Helvetica"/>
                <w:color w:val="000000"/>
                <w:sz w:val="18"/>
                <w:szCs w:val="18"/>
              </w:rPr>
            </w:pPr>
            <w:r w:rsidRPr="00344958">
              <w:rPr>
                <w:rFonts w:eastAsia="Times New Roman" w:cs="Helvetica"/>
                <w:color w:val="000000"/>
                <w:sz w:val="18"/>
                <w:szCs w:val="18"/>
              </w:rPr>
              <w:t>0.104383</w:t>
            </w:r>
          </w:p>
        </w:tc>
        <w:tc>
          <w:tcPr>
            <w:tcW w:w="1870" w:type="dxa"/>
            <w:vAlign w:val="center"/>
          </w:tcPr>
          <w:p w:rsidR="003D4B85" w:rsidRPr="00344958" w:rsidRDefault="003D4B85" w:rsidP="003D4B85">
            <w:pPr>
              <w:spacing w:before="240"/>
              <w:rPr>
                <w:rFonts w:eastAsia="Times New Roman" w:cs="Helvetica"/>
                <w:color w:val="000000"/>
                <w:sz w:val="18"/>
                <w:szCs w:val="18"/>
              </w:rPr>
            </w:pPr>
            <w:r w:rsidRPr="00344958">
              <w:rPr>
                <w:rFonts w:eastAsia="Times New Roman" w:cs="Helvetica"/>
                <w:color w:val="000000"/>
                <w:sz w:val="18"/>
                <w:szCs w:val="18"/>
              </w:rPr>
              <w:t>1.110026</w:t>
            </w:r>
          </w:p>
        </w:tc>
        <w:tc>
          <w:tcPr>
            <w:tcW w:w="1870" w:type="dxa"/>
            <w:vAlign w:val="center"/>
          </w:tcPr>
          <w:p w:rsidR="003D4B85" w:rsidRPr="00344958" w:rsidRDefault="003D4B85" w:rsidP="003D4B85">
            <w:pPr>
              <w:spacing w:before="240"/>
              <w:rPr>
                <w:rFonts w:eastAsia="Times New Roman" w:cs="Helvetica"/>
                <w:color w:val="000000"/>
                <w:sz w:val="18"/>
                <w:szCs w:val="18"/>
              </w:rPr>
            </w:pPr>
            <w:r w:rsidRPr="00344958">
              <w:rPr>
                <w:rFonts w:eastAsia="Times New Roman" w:cs="Helvetica"/>
                <w:color w:val="000000"/>
                <w:sz w:val="18"/>
                <w:szCs w:val="18"/>
              </w:rPr>
              <w:t>11.002588</w:t>
            </w:r>
          </w:p>
        </w:tc>
        <w:tc>
          <w:tcPr>
            <w:tcW w:w="1870" w:type="dxa"/>
            <w:vAlign w:val="center"/>
          </w:tcPr>
          <w:p w:rsidR="003D4B85" w:rsidRPr="00344958" w:rsidRDefault="003D4B85" w:rsidP="003D4B85">
            <w:pPr>
              <w:spacing w:before="240"/>
              <w:rPr>
                <w:rFonts w:eastAsia="Times New Roman" w:cs="Helvetica"/>
                <w:color w:val="000000"/>
                <w:sz w:val="18"/>
                <w:szCs w:val="18"/>
              </w:rPr>
            </w:pPr>
            <w:r w:rsidRPr="00344958">
              <w:rPr>
                <w:rFonts w:eastAsia="Times New Roman" w:cs="Helvetica"/>
                <w:color w:val="000000"/>
                <w:sz w:val="18"/>
                <w:szCs w:val="18"/>
              </w:rPr>
              <w:t>1.030117e-02</w:t>
            </w:r>
          </w:p>
        </w:tc>
      </w:tr>
      <w:tr w:rsidR="003D4B85" w:rsidRPr="00FC4BFB" w:rsidTr="00837D40">
        <w:tc>
          <w:tcPr>
            <w:tcW w:w="1870" w:type="dxa"/>
            <w:vAlign w:val="center"/>
          </w:tcPr>
          <w:p w:rsidR="003D4B85" w:rsidRPr="00344958" w:rsidRDefault="003D4B85" w:rsidP="003D4B85">
            <w:pPr>
              <w:spacing w:before="240"/>
              <w:rPr>
                <w:rFonts w:eastAsia="Times New Roman" w:cs="Helvetica"/>
                <w:bCs/>
                <w:color w:val="000000"/>
                <w:sz w:val="18"/>
                <w:szCs w:val="18"/>
              </w:rPr>
            </w:pPr>
            <w:r w:rsidRPr="00344958">
              <w:rPr>
                <w:rFonts w:eastAsia="Times New Roman" w:cs="Helvetica"/>
                <w:bCs/>
                <w:color w:val="000000"/>
                <w:sz w:val="18"/>
                <w:szCs w:val="18"/>
              </w:rPr>
              <w:t>Land Use</w:t>
            </w:r>
          </w:p>
        </w:tc>
        <w:tc>
          <w:tcPr>
            <w:tcW w:w="1870" w:type="dxa"/>
            <w:vAlign w:val="center"/>
          </w:tcPr>
          <w:p w:rsidR="003D4B85" w:rsidRPr="00344958" w:rsidRDefault="003D4B85" w:rsidP="003D4B85">
            <w:pPr>
              <w:spacing w:before="240"/>
              <w:rPr>
                <w:rFonts w:eastAsia="Times New Roman" w:cs="Helvetica"/>
                <w:color w:val="000000"/>
                <w:sz w:val="18"/>
                <w:szCs w:val="18"/>
              </w:rPr>
            </w:pPr>
            <w:r w:rsidRPr="00344958">
              <w:rPr>
                <w:rFonts w:eastAsia="Times New Roman" w:cs="Helvetica"/>
                <w:color w:val="000000"/>
                <w:sz w:val="18"/>
                <w:szCs w:val="18"/>
              </w:rPr>
              <w:t>-0.072353</w:t>
            </w:r>
          </w:p>
        </w:tc>
        <w:tc>
          <w:tcPr>
            <w:tcW w:w="1870" w:type="dxa"/>
            <w:vAlign w:val="center"/>
          </w:tcPr>
          <w:p w:rsidR="003D4B85" w:rsidRPr="00344958" w:rsidRDefault="003D4B85" w:rsidP="003D4B85">
            <w:pPr>
              <w:spacing w:before="240"/>
              <w:rPr>
                <w:rFonts w:eastAsia="Times New Roman" w:cs="Helvetica"/>
                <w:color w:val="000000"/>
                <w:sz w:val="18"/>
                <w:szCs w:val="18"/>
              </w:rPr>
            </w:pPr>
            <w:r w:rsidRPr="00344958">
              <w:rPr>
                <w:rFonts w:eastAsia="Times New Roman" w:cs="Helvetica"/>
                <w:color w:val="000000"/>
                <w:sz w:val="18"/>
                <w:szCs w:val="18"/>
              </w:rPr>
              <w:t>0.930203</w:t>
            </w:r>
          </w:p>
        </w:tc>
        <w:tc>
          <w:tcPr>
            <w:tcW w:w="1870" w:type="dxa"/>
            <w:vAlign w:val="center"/>
          </w:tcPr>
          <w:p w:rsidR="003D4B85" w:rsidRPr="00344958" w:rsidRDefault="003D4B85" w:rsidP="003D4B85">
            <w:pPr>
              <w:spacing w:before="240"/>
              <w:rPr>
                <w:rFonts w:eastAsia="Times New Roman" w:cs="Helvetica"/>
                <w:color w:val="000000"/>
                <w:sz w:val="18"/>
                <w:szCs w:val="18"/>
              </w:rPr>
            </w:pPr>
            <w:r w:rsidRPr="00344958">
              <w:rPr>
                <w:rFonts w:eastAsia="Times New Roman" w:cs="Helvetica"/>
                <w:color w:val="000000"/>
                <w:sz w:val="18"/>
                <w:szCs w:val="18"/>
              </w:rPr>
              <w:t>-6.979728</w:t>
            </w:r>
          </w:p>
        </w:tc>
        <w:tc>
          <w:tcPr>
            <w:tcW w:w="1870" w:type="dxa"/>
            <w:vAlign w:val="center"/>
          </w:tcPr>
          <w:p w:rsidR="003D4B85" w:rsidRPr="00344958" w:rsidRDefault="003D4B85" w:rsidP="003D4B85">
            <w:pPr>
              <w:spacing w:before="240"/>
              <w:rPr>
                <w:rFonts w:eastAsia="Times New Roman" w:cs="Helvetica"/>
                <w:color w:val="000000"/>
                <w:sz w:val="18"/>
                <w:szCs w:val="18"/>
              </w:rPr>
            </w:pPr>
            <w:r w:rsidRPr="00344958">
              <w:rPr>
                <w:rFonts w:eastAsia="Times New Roman" w:cs="Helvetica"/>
                <w:color w:val="000000"/>
                <w:sz w:val="18"/>
                <w:szCs w:val="18"/>
              </w:rPr>
              <w:t>1.123900e-02</w:t>
            </w:r>
          </w:p>
        </w:tc>
      </w:tr>
      <w:tr w:rsidR="003D4B85" w:rsidRPr="00FC4BFB" w:rsidTr="00837D40">
        <w:tc>
          <w:tcPr>
            <w:tcW w:w="1870" w:type="dxa"/>
            <w:vAlign w:val="center"/>
          </w:tcPr>
          <w:p w:rsidR="003D4B85" w:rsidRPr="00344958" w:rsidRDefault="003D4B85" w:rsidP="003D4B85">
            <w:pPr>
              <w:spacing w:before="240"/>
              <w:rPr>
                <w:rFonts w:eastAsia="Times New Roman" w:cs="Helvetica"/>
                <w:bCs/>
                <w:color w:val="000000"/>
                <w:sz w:val="18"/>
                <w:szCs w:val="18"/>
              </w:rPr>
            </w:pPr>
            <w:r w:rsidRPr="00344958">
              <w:rPr>
                <w:rFonts w:eastAsia="Times New Roman" w:cs="Helvetica"/>
                <w:bCs/>
                <w:color w:val="000000"/>
                <w:sz w:val="18"/>
                <w:szCs w:val="18"/>
              </w:rPr>
              <w:t>Foundation Type</w:t>
            </w:r>
          </w:p>
        </w:tc>
        <w:tc>
          <w:tcPr>
            <w:tcW w:w="1870" w:type="dxa"/>
            <w:vAlign w:val="center"/>
          </w:tcPr>
          <w:p w:rsidR="003D4B85" w:rsidRPr="00344958" w:rsidRDefault="003D4B85" w:rsidP="003D4B85">
            <w:pPr>
              <w:spacing w:before="240"/>
              <w:rPr>
                <w:rFonts w:eastAsia="Times New Roman" w:cs="Helvetica"/>
                <w:color w:val="000000"/>
                <w:sz w:val="18"/>
                <w:szCs w:val="18"/>
              </w:rPr>
            </w:pPr>
            <w:r w:rsidRPr="00344958">
              <w:rPr>
                <w:rFonts w:eastAsia="Times New Roman" w:cs="Helvetica"/>
                <w:color w:val="000000"/>
                <w:sz w:val="18"/>
                <w:szCs w:val="18"/>
              </w:rPr>
              <w:t>-0.030339</w:t>
            </w:r>
          </w:p>
        </w:tc>
        <w:tc>
          <w:tcPr>
            <w:tcW w:w="1870" w:type="dxa"/>
            <w:vAlign w:val="center"/>
          </w:tcPr>
          <w:p w:rsidR="003D4B85" w:rsidRPr="00344958" w:rsidRDefault="003D4B85" w:rsidP="003D4B85">
            <w:pPr>
              <w:spacing w:before="240"/>
              <w:rPr>
                <w:rFonts w:eastAsia="Times New Roman" w:cs="Helvetica"/>
                <w:color w:val="000000"/>
                <w:sz w:val="18"/>
                <w:szCs w:val="18"/>
              </w:rPr>
            </w:pPr>
            <w:r w:rsidRPr="00344958">
              <w:rPr>
                <w:rFonts w:eastAsia="Times New Roman" w:cs="Helvetica"/>
                <w:color w:val="000000"/>
                <w:sz w:val="18"/>
                <w:szCs w:val="18"/>
              </w:rPr>
              <w:t>0.970117</w:t>
            </w:r>
          </w:p>
        </w:tc>
        <w:tc>
          <w:tcPr>
            <w:tcW w:w="1870" w:type="dxa"/>
            <w:vAlign w:val="center"/>
          </w:tcPr>
          <w:p w:rsidR="003D4B85" w:rsidRPr="00344958" w:rsidRDefault="003D4B85" w:rsidP="003D4B85">
            <w:pPr>
              <w:spacing w:before="240"/>
              <w:rPr>
                <w:rFonts w:eastAsia="Times New Roman" w:cs="Helvetica"/>
                <w:color w:val="000000"/>
                <w:sz w:val="18"/>
                <w:szCs w:val="18"/>
              </w:rPr>
            </w:pPr>
            <w:r w:rsidRPr="00344958">
              <w:rPr>
                <w:rFonts w:eastAsia="Times New Roman" w:cs="Helvetica"/>
                <w:color w:val="000000"/>
                <w:sz w:val="18"/>
                <w:szCs w:val="18"/>
              </w:rPr>
              <w:t>-2.988307</w:t>
            </w:r>
          </w:p>
        </w:tc>
        <w:tc>
          <w:tcPr>
            <w:tcW w:w="1870" w:type="dxa"/>
            <w:vAlign w:val="center"/>
          </w:tcPr>
          <w:p w:rsidR="003D4B85" w:rsidRPr="00344958" w:rsidRDefault="003D4B85" w:rsidP="003D4B85">
            <w:pPr>
              <w:spacing w:before="240"/>
              <w:rPr>
                <w:rFonts w:eastAsia="Times New Roman" w:cs="Helvetica"/>
                <w:color w:val="000000"/>
                <w:sz w:val="18"/>
                <w:szCs w:val="18"/>
              </w:rPr>
            </w:pPr>
            <w:r w:rsidRPr="00344958">
              <w:rPr>
                <w:rFonts w:eastAsia="Times New Roman" w:cs="Helvetica"/>
                <w:color w:val="000000"/>
                <w:sz w:val="18"/>
                <w:szCs w:val="18"/>
              </w:rPr>
              <w:t>5.320118e-02</w:t>
            </w:r>
          </w:p>
        </w:tc>
      </w:tr>
      <w:tr w:rsidR="003D4B85" w:rsidRPr="00FC4BFB" w:rsidTr="00837D40">
        <w:tc>
          <w:tcPr>
            <w:tcW w:w="1870" w:type="dxa"/>
            <w:vAlign w:val="center"/>
          </w:tcPr>
          <w:p w:rsidR="003D4B85" w:rsidRPr="00344958" w:rsidRDefault="003D4B85" w:rsidP="003D4B85">
            <w:pPr>
              <w:spacing w:before="240"/>
              <w:rPr>
                <w:rFonts w:eastAsia="Times New Roman" w:cs="Helvetica"/>
                <w:bCs/>
                <w:color w:val="000000"/>
                <w:sz w:val="18"/>
                <w:szCs w:val="18"/>
              </w:rPr>
            </w:pPr>
            <w:r w:rsidRPr="00344958">
              <w:rPr>
                <w:rFonts w:eastAsia="Times New Roman" w:cs="Helvetica"/>
                <w:bCs/>
                <w:color w:val="000000"/>
                <w:sz w:val="18"/>
                <w:szCs w:val="18"/>
              </w:rPr>
              <w:t>Grade</w:t>
            </w:r>
          </w:p>
        </w:tc>
        <w:tc>
          <w:tcPr>
            <w:tcW w:w="1870" w:type="dxa"/>
            <w:vAlign w:val="center"/>
          </w:tcPr>
          <w:p w:rsidR="003D4B85" w:rsidRPr="00344958" w:rsidRDefault="003D4B85" w:rsidP="003D4B85">
            <w:pPr>
              <w:spacing w:before="240"/>
              <w:rPr>
                <w:rFonts w:eastAsia="Times New Roman" w:cs="Helvetica"/>
                <w:color w:val="000000"/>
                <w:sz w:val="18"/>
                <w:szCs w:val="18"/>
              </w:rPr>
            </w:pPr>
            <w:r w:rsidRPr="00344958">
              <w:rPr>
                <w:rFonts w:eastAsia="Times New Roman" w:cs="Helvetica"/>
                <w:color w:val="000000"/>
                <w:sz w:val="18"/>
                <w:szCs w:val="18"/>
              </w:rPr>
              <w:t>0.023905</w:t>
            </w:r>
          </w:p>
        </w:tc>
        <w:tc>
          <w:tcPr>
            <w:tcW w:w="1870" w:type="dxa"/>
            <w:vAlign w:val="center"/>
          </w:tcPr>
          <w:p w:rsidR="003D4B85" w:rsidRPr="00344958" w:rsidRDefault="003D4B85" w:rsidP="003D4B85">
            <w:pPr>
              <w:spacing w:before="240"/>
              <w:rPr>
                <w:rFonts w:eastAsia="Times New Roman" w:cs="Helvetica"/>
                <w:color w:val="000000"/>
                <w:sz w:val="18"/>
                <w:szCs w:val="18"/>
              </w:rPr>
            </w:pPr>
            <w:r w:rsidRPr="00344958">
              <w:rPr>
                <w:rFonts w:eastAsia="Times New Roman" w:cs="Helvetica"/>
                <w:color w:val="000000"/>
                <w:sz w:val="18"/>
                <w:szCs w:val="18"/>
              </w:rPr>
              <w:t>1.024193</w:t>
            </w:r>
          </w:p>
        </w:tc>
        <w:tc>
          <w:tcPr>
            <w:tcW w:w="1870" w:type="dxa"/>
            <w:vAlign w:val="center"/>
          </w:tcPr>
          <w:p w:rsidR="003D4B85" w:rsidRPr="00344958" w:rsidRDefault="003D4B85" w:rsidP="003D4B85">
            <w:pPr>
              <w:spacing w:before="240"/>
              <w:rPr>
                <w:rFonts w:eastAsia="Times New Roman" w:cs="Helvetica"/>
                <w:color w:val="000000"/>
                <w:sz w:val="18"/>
                <w:szCs w:val="18"/>
              </w:rPr>
            </w:pPr>
            <w:r w:rsidRPr="00344958">
              <w:rPr>
                <w:rFonts w:eastAsia="Times New Roman" w:cs="Helvetica"/>
                <w:color w:val="000000"/>
                <w:sz w:val="18"/>
                <w:szCs w:val="18"/>
              </w:rPr>
              <w:t>2.419340</w:t>
            </w:r>
          </w:p>
        </w:tc>
        <w:tc>
          <w:tcPr>
            <w:tcW w:w="1870" w:type="dxa"/>
            <w:vAlign w:val="center"/>
          </w:tcPr>
          <w:p w:rsidR="003D4B85" w:rsidRPr="00344958" w:rsidRDefault="003D4B85" w:rsidP="003D4B85">
            <w:pPr>
              <w:spacing w:before="240"/>
              <w:rPr>
                <w:rFonts w:eastAsia="Times New Roman" w:cs="Helvetica"/>
                <w:color w:val="000000"/>
                <w:sz w:val="18"/>
                <w:szCs w:val="18"/>
              </w:rPr>
            </w:pPr>
            <w:r w:rsidRPr="00344958">
              <w:rPr>
                <w:rFonts w:eastAsia="Times New Roman" w:cs="Helvetica"/>
                <w:color w:val="000000"/>
                <w:sz w:val="18"/>
                <w:szCs w:val="18"/>
              </w:rPr>
              <w:t>2.162737e-01</w:t>
            </w:r>
          </w:p>
        </w:tc>
      </w:tr>
      <w:tr w:rsidR="003D4B85" w:rsidRPr="00FC4BFB" w:rsidTr="00837D40">
        <w:tc>
          <w:tcPr>
            <w:tcW w:w="1870" w:type="dxa"/>
            <w:vAlign w:val="center"/>
          </w:tcPr>
          <w:p w:rsidR="003D4B85" w:rsidRPr="00344958" w:rsidRDefault="003D4B85" w:rsidP="003D4B85">
            <w:pPr>
              <w:spacing w:before="240"/>
              <w:rPr>
                <w:rFonts w:eastAsia="Times New Roman" w:cs="Helvetica"/>
                <w:bCs/>
                <w:color w:val="000000"/>
                <w:sz w:val="18"/>
                <w:szCs w:val="18"/>
              </w:rPr>
            </w:pPr>
            <w:r w:rsidRPr="00344958">
              <w:rPr>
                <w:rFonts w:eastAsia="Times New Roman" w:cs="Helvetica"/>
                <w:bCs/>
                <w:color w:val="000000"/>
                <w:sz w:val="18"/>
                <w:szCs w:val="18"/>
              </w:rPr>
              <w:t>Neighborhood</w:t>
            </w:r>
          </w:p>
        </w:tc>
        <w:tc>
          <w:tcPr>
            <w:tcW w:w="1870" w:type="dxa"/>
            <w:vAlign w:val="center"/>
          </w:tcPr>
          <w:p w:rsidR="003D4B85" w:rsidRPr="00344958" w:rsidRDefault="003D4B85" w:rsidP="003D4B85">
            <w:pPr>
              <w:spacing w:before="240"/>
              <w:rPr>
                <w:rFonts w:eastAsia="Times New Roman" w:cs="Helvetica"/>
                <w:color w:val="000000"/>
                <w:sz w:val="18"/>
                <w:szCs w:val="18"/>
              </w:rPr>
            </w:pPr>
            <w:r w:rsidRPr="00344958">
              <w:rPr>
                <w:rFonts w:eastAsia="Times New Roman" w:cs="Helvetica"/>
                <w:color w:val="000000"/>
                <w:sz w:val="18"/>
                <w:szCs w:val="18"/>
              </w:rPr>
              <w:t>-0.000011</w:t>
            </w:r>
          </w:p>
        </w:tc>
        <w:tc>
          <w:tcPr>
            <w:tcW w:w="1870" w:type="dxa"/>
            <w:vAlign w:val="center"/>
          </w:tcPr>
          <w:p w:rsidR="003D4B85" w:rsidRPr="00344958" w:rsidRDefault="003D4B85" w:rsidP="003D4B85">
            <w:pPr>
              <w:spacing w:before="240"/>
              <w:rPr>
                <w:rFonts w:eastAsia="Times New Roman" w:cs="Helvetica"/>
                <w:color w:val="000000"/>
                <w:sz w:val="18"/>
                <w:szCs w:val="18"/>
              </w:rPr>
            </w:pPr>
            <w:r w:rsidRPr="00344958">
              <w:rPr>
                <w:rFonts w:eastAsia="Times New Roman" w:cs="Helvetica"/>
                <w:color w:val="000000"/>
                <w:sz w:val="18"/>
                <w:szCs w:val="18"/>
              </w:rPr>
              <w:t>0.999989</w:t>
            </w:r>
          </w:p>
        </w:tc>
        <w:tc>
          <w:tcPr>
            <w:tcW w:w="1870" w:type="dxa"/>
            <w:vAlign w:val="center"/>
          </w:tcPr>
          <w:p w:rsidR="003D4B85" w:rsidRPr="00344958" w:rsidRDefault="003D4B85" w:rsidP="003D4B85">
            <w:pPr>
              <w:spacing w:before="240"/>
              <w:rPr>
                <w:rFonts w:eastAsia="Times New Roman" w:cs="Helvetica"/>
                <w:color w:val="000000"/>
                <w:sz w:val="18"/>
                <w:szCs w:val="18"/>
              </w:rPr>
            </w:pPr>
            <w:r w:rsidRPr="00344958">
              <w:rPr>
                <w:rFonts w:eastAsia="Times New Roman" w:cs="Helvetica"/>
                <w:color w:val="000000"/>
                <w:sz w:val="18"/>
                <w:szCs w:val="18"/>
              </w:rPr>
              <w:t>-0.001072</w:t>
            </w:r>
          </w:p>
        </w:tc>
        <w:tc>
          <w:tcPr>
            <w:tcW w:w="1870" w:type="dxa"/>
            <w:vAlign w:val="center"/>
          </w:tcPr>
          <w:p w:rsidR="003D4B85" w:rsidRPr="00344958" w:rsidRDefault="003D4B85" w:rsidP="003D4B85">
            <w:pPr>
              <w:spacing w:before="240"/>
              <w:rPr>
                <w:rFonts w:eastAsia="Times New Roman" w:cs="Helvetica"/>
                <w:color w:val="000000"/>
                <w:sz w:val="18"/>
                <w:szCs w:val="18"/>
              </w:rPr>
            </w:pPr>
            <w:r w:rsidRPr="00344958">
              <w:rPr>
                <w:rFonts w:eastAsia="Times New Roman" w:cs="Helvetica"/>
                <w:color w:val="000000"/>
                <w:sz w:val="18"/>
                <w:szCs w:val="18"/>
              </w:rPr>
              <w:t>3.298339e-01</w:t>
            </w:r>
          </w:p>
        </w:tc>
      </w:tr>
      <w:tr w:rsidR="003D4B85" w:rsidRPr="00FC4BFB" w:rsidTr="00837D40">
        <w:tc>
          <w:tcPr>
            <w:tcW w:w="1870" w:type="dxa"/>
            <w:vAlign w:val="center"/>
          </w:tcPr>
          <w:p w:rsidR="003D4B85" w:rsidRPr="00344958" w:rsidRDefault="003D4B85" w:rsidP="003D4B85">
            <w:pPr>
              <w:spacing w:before="240"/>
              <w:rPr>
                <w:rFonts w:eastAsia="Times New Roman" w:cs="Helvetica"/>
                <w:bCs/>
                <w:color w:val="000000"/>
                <w:sz w:val="18"/>
                <w:szCs w:val="18"/>
              </w:rPr>
            </w:pPr>
            <w:r w:rsidRPr="00344958">
              <w:rPr>
                <w:rFonts w:eastAsia="Times New Roman" w:cs="Helvetica"/>
                <w:bCs/>
                <w:color w:val="000000"/>
                <w:sz w:val="18"/>
                <w:szCs w:val="18"/>
              </w:rPr>
              <w:t>Exterior Wall</w:t>
            </w:r>
          </w:p>
        </w:tc>
        <w:tc>
          <w:tcPr>
            <w:tcW w:w="1870" w:type="dxa"/>
            <w:vAlign w:val="center"/>
          </w:tcPr>
          <w:p w:rsidR="003D4B85" w:rsidRPr="00344958" w:rsidRDefault="003D4B85" w:rsidP="003D4B85">
            <w:pPr>
              <w:spacing w:before="240"/>
              <w:rPr>
                <w:rFonts w:eastAsia="Times New Roman" w:cs="Helvetica"/>
                <w:color w:val="000000"/>
                <w:sz w:val="18"/>
                <w:szCs w:val="18"/>
              </w:rPr>
            </w:pPr>
            <w:r w:rsidRPr="00344958">
              <w:rPr>
                <w:rFonts w:eastAsia="Times New Roman" w:cs="Helvetica"/>
                <w:color w:val="000000"/>
                <w:sz w:val="18"/>
                <w:szCs w:val="18"/>
              </w:rPr>
              <w:t>-0.003705</w:t>
            </w:r>
          </w:p>
        </w:tc>
        <w:tc>
          <w:tcPr>
            <w:tcW w:w="1870" w:type="dxa"/>
            <w:vAlign w:val="center"/>
          </w:tcPr>
          <w:p w:rsidR="003D4B85" w:rsidRPr="00344958" w:rsidRDefault="003D4B85" w:rsidP="003D4B85">
            <w:pPr>
              <w:spacing w:before="240"/>
              <w:rPr>
                <w:rFonts w:eastAsia="Times New Roman" w:cs="Helvetica"/>
                <w:color w:val="000000"/>
                <w:sz w:val="18"/>
                <w:szCs w:val="18"/>
              </w:rPr>
            </w:pPr>
            <w:r w:rsidRPr="00344958">
              <w:rPr>
                <w:rFonts w:eastAsia="Times New Roman" w:cs="Helvetica"/>
                <w:color w:val="000000"/>
                <w:sz w:val="18"/>
                <w:szCs w:val="18"/>
              </w:rPr>
              <w:t>0.996302</w:t>
            </w:r>
          </w:p>
        </w:tc>
        <w:tc>
          <w:tcPr>
            <w:tcW w:w="1870" w:type="dxa"/>
            <w:vAlign w:val="center"/>
          </w:tcPr>
          <w:p w:rsidR="003D4B85" w:rsidRPr="00344958" w:rsidRDefault="003D4B85" w:rsidP="003D4B85">
            <w:pPr>
              <w:spacing w:before="240"/>
              <w:rPr>
                <w:rFonts w:eastAsia="Times New Roman" w:cs="Helvetica"/>
                <w:color w:val="000000"/>
                <w:sz w:val="18"/>
                <w:szCs w:val="18"/>
              </w:rPr>
            </w:pPr>
            <w:r w:rsidRPr="00344958">
              <w:rPr>
                <w:rFonts w:eastAsia="Times New Roman" w:cs="Helvetica"/>
                <w:color w:val="000000"/>
                <w:sz w:val="18"/>
                <w:szCs w:val="18"/>
              </w:rPr>
              <w:t>-0.369778</w:t>
            </w:r>
          </w:p>
        </w:tc>
        <w:tc>
          <w:tcPr>
            <w:tcW w:w="1870" w:type="dxa"/>
            <w:vAlign w:val="center"/>
          </w:tcPr>
          <w:p w:rsidR="003D4B85" w:rsidRPr="00344958" w:rsidRDefault="003D4B85" w:rsidP="003D4B85">
            <w:pPr>
              <w:spacing w:before="240"/>
              <w:rPr>
                <w:rFonts w:eastAsia="Times New Roman" w:cs="Helvetica"/>
                <w:color w:val="000000"/>
                <w:sz w:val="18"/>
                <w:szCs w:val="18"/>
              </w:rPr>
            </w:pPr>
            <w:r w:rsidRPr="00344958">
              <w:rPr>
                <w:rFonts w:eastAsia="Times New Roman" w:cs="Helvetica"/>
                <w:color w:val="000000"/>
                <w:sz w:val="18"/>
                <w:szCs w:val="18"/>
              </w:rPr>
              <w:t>7.593821e-01</w:t>
            </w:r>
          </w:p>
        </w:tc>
      </w:tr>
      <w:tr w:rsidR="003D4B85" w:rsidRPr="00FC4BFB" w:rsidTr="00837D40">
        <w:tc>
          <w:tcPr>
            <w:tcW w:w="1870" w:type="dxa"/>
            <w:vAlign w:val="center"/>
          </w:tcPr>
          <w:p w:rsidR="003D4B85" w:rsidRPr="00344958" w:rsidRDefault="003D4B85" w:rsidP="003D4B85">
            <w:pPr>
              <w:spacing w:before="240"/>
              <w:rPr>
                <w:rFonts w:eastAsia="Times New Roman" w:cs="Helvetica"/>
                <w:bCs/>
                <w:color w:val="000000"/>
                <w:sz w:val="18"/>
                <w:szCs w:val="18"/>
              </w:rPr>
            </w:pPr>
            <w:r w:rsidRPr="00344958">
              <w:rPr>
                <w:rFonts w:eastAsia="Times New Roman" w:cs="Helvetica"/>
                <w:bCs/>
                <w:color w:val="000000"/>
                <w:sz w:val="18"/>
                <w:szCs w:val="18"/>
              </w:rPr>
              <w:t>Half Bath</w:t>
            </w:r>
          </w:p>
        </w:tc>
        <w:tc>
          <w:tcPr>
            <w:tcW w:w="1870" w:type="dxa"/>
            <w:vAlign w:val="center"/>
          </w:tcPr>
          <w:p w:rsidR="003D4B85" w:rsidRPr="00344958" w:rsidRDefault="003D4B85" w:rsidP="003D4B85">
            <w:pPr>
              <w:spacing w:before="240"/>
              <w:rPr>
                <w:rFonts w:eastAsia="Times New Roman" w:cs="Helvetica"/>
                <w:color w:val="000000"/>
                <w:sz w:val="18"/>
                <w:szCs w:val="18"/>
              </w:rPr>
            </w:pPr>
            <w:r w:rsidRPr="00344958">
              <w:rPr>
                <w:rFonts w:eastAsia="Times New Roman" w:cs="Helvetica"/>
                <w:color w:val="000000"/>
                <w:sz w:val="18"/>
                <w:szCs w:val="18"/>
              </w:rPr>
              <w:t>0.012155</w:t>
            </w:r>
          </w:p>
        </w:tc>
        <w:tc>
          <w:tcPr>
            <w:tcW w:w="1870" w:type="dxa"/>
            <w:vAlign w:val="center"/>
          </w:tcPr>
          <w:p w:rsidR="003D4B85" w:rsidRPr="00344958" w:rsidRDefault="003D4B85" w:rsidP="003D4B85">
            <w:pPr>
              <w:spacing w:before="240"/>
              <w:rPr>
                <w:rFonts w:eastAsia="Times New Roman" w:cs="Helvetica"/>
                <w:color w:val="000000"/>
                <w:sz w:val="18"/>
                <w:szCs w:val="18"/>
              </w:rPr>
            </w:pPr>
            <w:r w:rsidRPr="00344958">
              <w:rPr>
                <w:rFonts w:eastAsia="Times New Roman" w:cs="Helvetica"/>
                <w:color w:val="000000"/>
                <w:sz w:val="18"/>
                <w:szCs w:val="18"/>
              </w:rPr>
              <w:t>1.012229</w:t>
            </w:r>
          </w:p>
        </w:tc>
        <w:tc>
          <w:tcPr>
            <w:tcW w:w="1870" w:type="dxa"/>
            <w:vAlign w:val="center"/>
          </w:tcPr>
          <w:p w:rsidR="003D4B85" w:rsidRPr="00344958" w:rsidRDefault="003D4B85" w:rsidP="003D4B85">
            <w:pPr>
              <w:spacing w:before="240"/>
              <w:rPr>
                <w:rFonts w:eastAsia="Times New Roman" w:cs="Helvetica"/>
                <w:color w:val="000000"/>
                <w:sz w:val="18"/>
                <w:szCs w:val="18"/>
              </w:rPr>
            </w:pPr>
            <w:r w:rsidRPr="00344958">
              <w:rPr>
                <w:rFonts w:eastAsia="Times New Roman" w:cs="Helvetica"/>
                <w:color w:val="000000"/>
                <w:sz w:val="18"/>
                <w:szCs w:val="18"/>
              </w:rPr>
              <w:t>1.222933</w:t>
            </w:r>
          </w:p>
        </w:tc>
        <w:tc>
          <w:tcPr>
            <w:tcW w:w="1870" w:type="dxa"/>
            <w:vAlign w:val="center"/>
          </w:tcPr>
          <w:p w:rsidR="003D4B85" w:rsidRPr="00344958" w:rsidRDefault="003D4B85" w:rsidP="003D4B85">
            <w:pPr>
              <w:spacing w:before="240"/>
              <w:rPr>
                <w:rFonts w:eastAsia="Times New Roman" w:cs="Helvetica"/>
                <w:color w:val="000000"/>
                <w:sz w:val="18"/>
                <w:szCs w:val="18"/>
              </w:rPr>
            </w:pPr>
            <w:r w:rsidRPr="00344958">
              <w:rPr>
                <w:rFonts w:eastAsia="Times New Roman" w:cs="Helvetica"/>
                <w:color w:val="000000"/>
                <w:sz w:val="18"/>
                <w:szCs w:val="18"/>
              </w:rPr>
              <w:t>7.814607e-01</w:t>
            </w:r>
          </w:p>
        </w:tc>
      </w:tr>
    </w:tbl>
    <w:p w:rsidR="005F76FD" w:rsidRDefault="005F76FD" w:rsidP="009D0751"/>
    <w:tbl>
      <w:tblPr>
        <w:tblStyle w:val="TableGrid"/>
        <w:tblW w:w="5003" w:type="pct"/>
        <w:tblLook w:val="04A0" w:firstRow="1" w:lastRow="0" w:firstColumn="1" w:lastColumn="0" w:noHBand="0" w:noVBand="1"/>
      </w:tblPr>
      <w:tblGrid>
        <w:gridCol w:w="1996"/>
        <w:gridCol w:w="1604"/>
        <w:gridCol w:w="1529"/>
        <w:gridCol w:w="1347"/>
        <w:gridCol w:w="1703"/>
        <w:gridCol w:w="1177"/>
      </w:tblGrid>
      <w:tr w:rsidR="009C3846" w:rsidRPr="009C3846" w:rsidTr="00562DC6">
        <w:tc>
          <w:tcPr>
            <w:tcW w:w="1924" w:type="pct"/>
            <w:gridSpan w:val="2"/>
          </w:tcPr>
          <w:p w:rsidR="002743C8" w:rsidRPr="009C3846" w:rsidRDefault="002743C8" w:rsidP="002743C8">
            <w:pPr>
              <w:rPr>
                <w:sz w:val="18"/>
                <w:szCs w:val="18"/>
              </w:rPr>
            </w:pPr>
            <w:r w:rsidRPr="009C3846">
              <w:rPr>
                <w:sz w:val="18"/>
                <w:szCs w:val="18"/>
              </w:rPr>
              <w:t>Decision Tree Classifier</w:t>
            </w:r>
          </w:p>
        </w:tc>
        <w:tc>
          <w:tcPr>
            <w:tcW w:w="1537" w:type="pct"/>
            <w:gridSpan w:val="2"/>
          </w:tcPr>
          <w:p w:rsidR="002743C8" w:rsidRPr="009C3846" w:rsidRDefault="002743C8" w:rsidP="002743C8">
            <w:pPr>
              <w:rPr>
                <w:sz w:val="18"/>
                <w:szCs w:val="18"/>
              </w:rPr>
            </w:pPr>
            <w:r w:rsidRPr="009C3846">
              <w:rPr>
                <w:rFonts w:eastAsia="Times New Roman" w:cs="Helvetica"/>
                <w:bCs/>
                <w:color w:val="000000"/>
                <w:sz w:val="18"/>
                <w:szCs w:val="18"/>
              </w:rPr>
              <w:t>Random Forest</w:t>
            </w:r>
          </w:p>
        </w:tc>
        <w:tc>
          <w:tcPr>
            <w:tcW w:w="1539" w:type="pct"/>
            <w:gridSpan w:val="2"/>
          </w:tcPr>
          <w:p w:rsidR="002743C8" w:rsidRPr="009C3846" w:rsidRDefault="002743C8" w:rsidP="002743C8">
            <w:pPr>
              <w:rPr>
                <w:rFonts w:eastAsia="Times New Roman" w:cs="Helvetica"/>
                <w:bCs/>
                <w:color w:val="000000"/>
                <w:sz w:val="18"/>
                <w:szCs w:val="18"/>
              </w:rPr>
            </w:pPr>
            <w:r w:rsidRPr="004035FB">
              <w:rPr>
                <w:rFonts w:eastAsia="Times New Roman" w:cs="Segoe UI"/>
                <w:bCs/>
                <w:color w:val="374151"/>
                <w:sz w:val="18"/>
                <w:szCs w:val="18"/>
              </w:rPr>
              <w:t>Gradient Boost</w:t>
            </w:r>
          </w:p>
        </w:tc>
      </w:tr>
      <w:tr w:rsidR="009C3846" w:rsidRPr="009C3846" w:rsidTr="00562DC6">
        <w:tc>
          <w:tcPr>
            <w:tcW w:w="1067" w:type="pct"/>
          </w:tcPr>
          <w:p w:rsidR="002743C8" w:rsidRPr="009C3846" w:rsidRDefault="002743C8" w:rsidP="002743C8">
            <w:pPr>
              <w:rPr>
                <w:sz w:val="18"/>
                <w:szCs w:val="18"/>
              </w:rPr>
            </w:pPr>
            <w:r w:rsidRPr="009C3846">
              <w:rPr>
                <w:sz w:val="18"/>
                <w:szCs w:val="18"/>
              </w:rPr>
              <w:t>Feature Names</w:t>
            </w:r>
          </w:p>
        </w:tc>
        <w:tc>
          <w:tcPr>
            <w:tcW w:w="857" w:type="pct"/>
          </w:tcPr>
          <w:p w:rsidR="002743C8" w:rsidRPr="009C3846" w:rsidRDefault="002743C8" w:rsidP="002743C8">
            <w:pPr>
              <w:rPr>
                <w:sz w:val="18"/>
                <w:szCs w:val="18"/>
              </w:rPr>
            </w:pPr>
            <w:r w:rsidRPr="009C3846">
              <w:rPr>
                <w:sz w:val="18"/>
                <w:szCs w:val="18"/>
              </w:rPr>
              <w:t>Importance</w:t>
            </w:r>
          </w:p>
        </w:tc>
        <w:tc>
          <w:tcPr>
            <w:tcW w:w="817" w:type="pct"/>
            <w:vAlign w:val="center"/>
          </w:tcPr>
          <w:p w:rsidR="002743C8" w:rsidRPr="008F528C" w:rsidRDefault="002743C8" w:rsidP="002743C8">
            <w:pPr>
              <w:jc w:val="right"/>
              <w:rPr>
                <w:rFonts w:eastAsia="Times New Roman" w:cs="Helvetica"/>
                <w:bCs/>
                <w:color w:val="000000"/>
                <w:sz w:val="18"/>
                <w:szCs w:val="18"/>
              </w:rPr>
            </w:pPr>
            <w:r w:rsidRPr="008F528C">
              <w:rPr>
                <w:rFonts w:eastAsia="Times New Roman" w:cs="Helvetica"/>
                <w:bCs/>
                <w:color w:val="000000"/>
                <w:sz w:val="18"/>
                <w:szCs w:val="18"/>
              </w:rPr>
              <w:t>Feature Names</w:t>
            </w:r>
          </w:p>
        </w:tc>
        <w:tc>
          <w:tcPr>
            <w:tcW w:w="720" w:type="pct"/>
            <w:vAlign w:val="center"/>
          </w:tcPr>
          <w:p w:rsidR="002743C8" w:rsidRPr="008F528C" w:rsidRDefault="00FC4BFB" w:rsidP="002743C8">
            <w:pPr>
              <w:jc w:val="right"/>
              <w:rPr>
                <w:rFonts w:eastAsia="Times New Roman" w:cs="Helvetica"/>
                <w:bCs/>
                <w:color w:val="000000"/>
                <w:sz w:val="18"/>
                <w:szCs w:val="18"/>
              </w:rPr>
            </w:pPr>
            <w:r>
              <w:rPr>
                <w:rFonts w:eastAsia="Times New Roman" w:cs="Helvetica"/>
                <w:bCs/>
                <w:color w:val="000000"/>
                <w:sz w:val="18"/>
                <w:szCs w:val="18"/>
              </w:rPr>
              <w:t>Importance</w:t>
            </w:r>
          </w:p>
        </w:tc>
        <w:tc>
          <w:tcPr>
            <w:tcW w:w="910" w:type="pct"/>
            <w:vAlign w:val="center"/>
          </w:tcPr>
          <w:p w:rsidR="002743C8" w:rsidRPr="008F528C" w:rsidRDefault="002743C8" w:rsidP="002743C8">
            <w:pPr>
              <w:jc w:val="right"/>
              <w:rPr>
                <w:rFonts w:eastAsia="Times New Roman" w:cs="Helvetica"/>
                <w:bCs/>
                <w:color w:val="000000"/>
                <w:sz w:val="18"/>
                <w:szCs w:val="18"/>
              </w:rPr>
            </w:pPr>
            <w:r w:rsidRPr="008F528C">
              <w:rPr>
                <w:rFonts w:eastAsia="Times New Roman" w:cs="Helvetica"/>
                <w:bCs/>
                <w:color w:val="000000"/>
                <w:sz w:val="18"/>
                <w:szCs w:val="18"/>
              </w:rPr>
              <w:t>Feature Names</w:t>
            </w:r>
          </w:p>
        </w:tc>
        <w:tc>
          <w:tcPr>
            <w:tcW w:w="629" w:type="pct"/>
            <w:vAlign w:val="center"/>
          </w:tcPr>
          <w:p w:rsidR="002743C8" w:rsidRPr="008F528C" w:rsidRDefault="00FC4BFB" w:rsidP="002743C8">
            <w:pPr>
              <w:jc w:val="right"/>
              <w:rPr>
                <w:rFonts w:eastAsia="Times New Roman" w:cs="Helvetica"/>
                <w:bCs/>
                <w:color w:val="000000"/>
                <w:sz w:val="18"/>
                <w:szCs w:val="18"/>
              </w:rPr>
            </w:pPr>
            <w:r>
              <w:rPr>
                <w:rFonts w:eastAsia="Times New Roman" w:cs="Helvetica"/>
                <w:bCs/>
                <w:color w:val="000000"/>
                <w:sz w:val="18"/>
                <w:szCs w:val="18"/>
              </w:rPr>
              <w:t>Importance</w:t>
            </w:r>
          </w:p>
        </w:tc>
      </w:tr>
      <w:tr w:rsidR="009C3846" w:rsidRPr="009C3846" w:rsidTr="00562DC6">
        <w:tc>
          <w:tcPr>
            <w:tcW w:w="1067" w:type="pct"/>
          </w:tcPr>
          <w:p w:rsidR="002743C8" w:rsidRPr="009C3846" w:rsidRDefault="002743C8" w:rsidP="002743C8">
            <w:pPr>
              <w:rPr>
                <w:sz w:val="18"/>
                <w:szCs w:val="18"/>
              </w:rPr>
            </w:pPr>
            <w:r w:rsidRPr="009C3846">
              <w:rPr>
                <w:sz w:val="18"/>
                <w:szCs w:val="18"/>
              </w:rPr>
              <w:t>Building Value</w:t>
            </w:r>
          </w:p>
        </w:tc>
        <w:tc>
          <w:tcPr>
            <w:tcW w:w="857" w:type="pct"/>
          </w:tcPr>
          <w:p w:rsidR="002743C8" w:rsidRPr="009C3846" w:rsidRDefault="002743C8" w:rsidP="002743C8">
            <w:pPr>
              <w:rPr>
                <w:sz w:val="18"/>
                <w:szCs w:val="18"/>
              </w:rPr>
            </w:pPr>
            <w:r w:rsidRPr="009C3846">
              <w:rPr>
                <w:sz w:val="18"/>
                <w:szCs w:val="18"/>
              </w:rPr>
              <w:t>0.377472</w:t>
            </w:r>
          </w:p>
        </w:tc>
        <w:tc>
          <w:tcPr>
            <w:tcW w:w="817" w:type="pct"/>
            <w:vAlign w:val="center"/>
          </w:tcPr>
          <w:p w:rsidR="002743C8" w:rsidRPr="008F528C" w:rsidRDefault="002743C8" w:rsidP="002743C8">
            <w:pPr>
              <w:jc w:val="right"/>
              <w:rPr>
                <w:rFonts w:eastAsia="Times New Roman" w:cs="Helvetica"/>
                <w:color w:val="000000"/>
                <w:sz w:val="18"/>
                <w:szCs w:val="18"/>
              </w:rPr>
            </w:pPr>
            <w:r w:rsidRPr="008F528C">
              <w:rPr>
                <w:rFonts w:eastAsia="Times New Roman" w:cs="Helvetica"/>
                <w:color w:val="000000"/>
                <w:sz w:val="18"/>
                <w:szCs w:val="18"/>
              </w:rPr>
              <w:t>Building Value</w:t>
            </w:r>
          </w:p>
        </w:tc>
        <w:tc>
          <w:tcPr>
            <w:tcW w:w="720" w:type="pct"/>
            <w:vAlign w:val="center"/>
          </w:tcPr>
          <w:p w:rsidR="002743C8" w:rsidRPr="008F528C" w:rsidRDefault="002743C8" w:rsidP="002743C8">
            <w:pPr>
              <w:jc w:val="right"/>
              <w:rPr>
                <w:rFonts w:eastAsia="Times New Roman" w:cs="Helvetica"/>
                <w:color w:val="000000"/>
                <w:sz w:val="18"/>
                <w:szCs w:val="18"/>
              </w:rPr>
            </w:pPr>
            <w:r w:rsidRPr="008F528C">
              <w:rPr>
                <w:rFonts w:eastAsia="Times New Roman" w:cs="Helvetica"/>
                <w:color w:val="000000"/>
                <w:sz w:val="18"/>
                <w:szCs w:val="18"/>
              </w:rPr>
              <w:t>0.279993</w:t>
            </w:r>
          </w:p>
        </w:tc>
        <w:tc>
          <w:tcPr>
            <w:tcW w:w="910" w:type="pct"/>
          </w:tcPr>
          <w:p w:rsidR="002743C8" w:rsidRPr="009C3846" w:rsidRDefault="002743C8" w:rsidP="002743C8">
            <w:pPr>
              <w:rPr>
                <w:sz w:val="18"/>
                <w:szCs w:val="18"/>
              </w:rPr>
            </w:pPr>
            <w:r w:rsidRPr="009C3846">
              <w:rPr>
                <w:sz w:val="18"/>
                <w:szCs w:val="18"/>
              </w:rPr>
              <w:t>Building Value</w:t>
            </w:r>
          </w:p>
        </w:tc>
        <w:tc>
          <w:tcPr>
            <w:tcW w:w="629" w:type="pct"/>
          </w:tcPr>
          <w:p w:rsidR="002743C8" w:rsidRPr="009C3846" w:rsidRDefault="002743C8" w:rsidP="002743C8">
            <w:pPr>
              <w:rPr>
                <w:sz w:val="18"/>
                <w:szCs w:val="18"/>
              </w:rPr>
            </w:pPr>
            <w:r w:rsidRPr="009C3846">
              <w:rPr>
                <w:sz w:val="18"/>
                <w:szCs w:val="18"/>
              </w:rPr>
              <w:t>0.311901</w:t>
            </w:r>
          </w:p>
        </w:tc>
      </w:tr>
      <w:tr w:rsidR="009C3846" w:rsidRPr="009C3846" w:rsidTr="00562DC6">
        <w:tc>
          <w:tcPr>
            <w:tcW w:w="1067" w:type="pct"/>
          </w:tcPr>
          <w:p w:rsidR="002743C8" w:rsidRPr="009C3846" w:rsidRDefault="002743C8" w:rsidP="002743C8">
            <w:pPr>
              <w:rPr>
                <w:sz w:val="18"/>
                <w:szCs w:val="18"/>
              </w:rPr>
            </w:pPr>
            <w:r w:rsidRPr="009C3846">
              <w:rPr>
                <w:sz w:val="18"/>
                <w:szCs w:val="18"/>
              </w:rPr>
              <w:t>Sold As Vacant</w:t>
            </w:r>
          </w:p>
        </w:tc>
        <w:tc>
          <w:tcPr>
            <w:tcW w:w="857" w:type="pct"/>
          </w:tcPr>
          <w:p w:rsidR="002743C8" w:rsidRPr="009C3846" w:rsidRDefault="002743C8" w:rsidP="002743C8">
            <w:pPr>
              <w:rPr>
                <w:sz w:val="18"/>
                <w:szCs w:val="18"/>
              </w:rPr>
            </w:pPr>
            <w:r w:rsidRPr="009C3846">
              <w:rPr>
                <w:sz w:val="18"/>
                <w:szCs w:val="18"/>
              </w:rPr>
              <w:t>0.353467</w:t>
            </w:r>
          </w:p>
        </w:tc>
        <w:tc>
          <w:tcPr>
            <w:tcW w:w="817" w:type="pct"/>
            <w:vAlign w:val="center"/>
          </w:tcPr>
          <w:p w:rsidR="002743C8" w:rsidRPr="008F528C" w:rsidRDefault="002743C8" w:rsidP="002743C8">
            <w:pPr>
              <w:jc w:val="right"/>
              <w:rPr>
                <w:rFonts w:eastAsia="Times New Roman" w:cs="Helvetica"/>
                <w:color w:val="000000"/>
                <w:sz w:val="18"/>
                <w:szCs w:val="18"/>
              </w:rPr>
            </w:pPr>
            <w:r w:rsidRPr="008F528C">
              <w:rPr>
                <w:rFonts w:eastAsia="Times New Roman" w:cs="Helvetica"/>
                <w:color w:val="000000"/>
                <w:sz w:val="18"/>
                <w:szCs w:val="18"/>
              </w:rPr>
              <w:t>Sold As Vacant</w:t>
            </w:r>
          </w:p>
        </w:tc>
        <w:tc>
          <w:tcPr>
            <w:tcW w:w="720" w:type="pct"/>
            <w:vAlign w:val="center"/>
          </w:tcPr>
          <w:p w:rsidR="002743C8" w:rsidRPr="008F528C" w:rsidRDefault="002743C8" w:rsidP="002743C8">
            <w:pPr>
              <w:jc w:val="right"/>
              <w:rPr>
                <w:rFonts w:eastAsia="Times New Roman" w:cs="Helvetica"/>
                <w:color w:val="000000"/>
                <w:sz w:val="18"/>
                <w:szCs w:val="18"/>
              </w:rPr>
            </w:pPr>
            <w:r w:rsidRPr="008F528C">
              <w:rPr>
                <w:rFonts w:eastAsia="Times New Roman" w:cs="Helvetica"/>
                <w:color w:val="000000"/>
                <w:sz w:val="18"/>
                <w:szCs w:val="18"/>
              </w:rPr>
              <w:t>0.260598</w:t>
            </w:r>
          </w:p>
        </w:tc>
        <w:tc>
          <w:tcPr>
            <w:tcW w:w="910" w:type="pct"/>
          </w:tcPr>
          <w:p w:rsidR="002743C8" w:rsidRPr="009C3846" w:rsidRDefault="002743C8" w:rsidP="002743C8">
            <w:pPr>
              <w:rPr>
                <w:sz w:val="18"/>
                <w:szCs w:val="18"/>
              </w:rPr>
            </w:pPr>
            <w:r w:rsidRPr="009C3846">
              <w:rPr>
                <w:sz w:val="18"/>
                <w:szCs w:val="18"/>
              </w:rPr>
              <w:t>Land Value</w:t>
            </w:r>
          </w:p>
        </w:tc>
        <w:tc>
          <w:tcPr>
            <w:tcW w:w="629" w:type="pct"/>
          </w:tcPr>
          <w:p w:rsidR="002743C8" w:rsidRPr="009C3846" w:rsidRDefault="002743C8" w:rsidP="002743C8">
            <w:pPr>
              <w:rPr>
                <w:sz w:val="18"/>
                <w:szCs w:val="18"/>
              </w:rPr>
            </w:pPr>
            <w:r w:rsidRPr="009C3846">
              <w:rPr>
                <w:sz w:val="18"/>
                <w:szCs w:val="18"/>
              </w:rPr>
              <w:t>0.235552</w:t>
            </w:r>
          </w:p>
        </w:tc>
      </w:tr>
      <w:tr w:rsidR="009C3846" w:rsidRPr="009C3846" w:rsidTr="00562DC6">
        <w:tc>
          <w:tcPr>
            <w:tcW w:w="1067" w:type="pct"/>
          </w:tcPr>
          <w:p w:rsidR="002743C8" w:rsidRPr="009C3846" w:rsidRDefault="002743C8" w:rsidP="002743C8">
            <w:pPr>
              <w:rPr>
                <w:sz w:val="18"/>
                <w:szCs w:val="18"/>
              </w:rPr>
            </w:pPr>
            <w:r w:rsidRPr="009C3846">
              <w:rPr>
                <w:sz w:val="18"/>
                <w:szCs w:val="18"/>
              </w:rPr>
              <w:t>Land Value</w:t>
            </w:r>
          </w:p>
        </w:tc>
        <w:tc>
          <w:tcPr>
            <w:tcW w:w="857" w:type="pct"/>
          </w:tcPr>
          <w:p w:rsidR="002743C8" w:rsidRPr="009C3846" w:rsidRDefault="002743C8" w:rsidP="002743C8">
            <w:pPr>
              <w:rPr>
                <w:sz w:val="18"/>
                <w:szCs w:val="18"/>
              </w:rPr>
            </w:pPr>
            <w:r w:rsidRPr="009C3846">
              <w:rPr>
                <w:sz w:val="18"/>
                <w:szCs w:val="18"/>
              </w:rPr>
              <w:t>0.241714</w:t>
            </w:r>
          </w:p>
        </w:tc>
        <w:tc>
          <w:tcPr>
            <w:tcW w:w="817" w:type="pct"/>
            <w:vAlign w:val="center"/>
          </w:tcPr>
          <w:p w:rsidR="002743C8" w:rsidRPr="008F528C" w:rsidRDefault="002743C8" w:rsidP="002743C8">
            <w:pPr>
              <w:jc w:val="right"/>
              <w:rPr>
                <w:rFonts w:eastAsia="Times New Roman" w:cs="Helvetica"/>
                <w:color w:val="000000"/>
                <w:sz w:val="18"/>
                <w:szCs w:val="18"/>
              </w:rPr>
            </w:pPr>
            <w:r w:rsidRPr="008F528C">
              <w:rPr>
                <w:rFonts w:eastAsia="Times New Roman" w:cs="Helvetica"/>
                <w:color w:val="000000"/>
                <w:sz w:val="18"/>
                <w:szCs w:val="18"/>
              </w:rPr>
              <w:t>Land Value</w:t>
            </w:r>
          </w:p>
        </w:tc>
        <w:tc>
          <w:tcPr>
            <w:tcW w:w="720" w:type="pct"/>
            <w:vAlign w:val="center"/>
          </w:tcPr>
          <w:p w:rsidR="002743C8" w:rsidRPr="008F528C" w:rsidRDefault="002743C8" w:rsidP="002743C8">
            <w:pPr>
              <w:jc w:val="right"/>
              <w:rPr>
                <w:rFonts w:eastAsia="Times New Roman" w:cs="Helvetica"/>
                <w:color w:val="000000"/>
                <w:sz w:val="18"/>
                <w:szCs w:val="18"/>
              </w:rPr>
            </w:pPr>
            <w:r w:rsidRPr="008F528C">
              <w:rPr>
                <w:rFonts w:eastAsia="Times New Roman" w:cs="Helvetica"/>
                <w:color w:val="000000"/>
                <w:sz w:val="18"/>
                <w:szCs w:val="18"/>
              </w:rPr>
              <w:t>0.179600</w:t>
            </w:r>
          </w:p>
        </w:tc>
        <w:tc>
          <w:tcPr>
            <w:tcW w:w="910" w:type="pct"/>
          </w:tcPr>
          <w:p w:rsidR="002743C8" w:rsidRPr="009C3846" w:rsidRDefault="002743C8" w:rsidP="002743C8">
            <w:pPr>
              <w:rPr>
                <w:sz w:val="18"/>
                <w:szCs w:val="18"/>
              </w:rPr>
            </w:pPr>
            <w:r w:rsidRPr="009C3846">
              <w:rPr>
                <w:sz w:val="18"/>
                <w:szCs w:val="18"/>
              </w:rPr>
              <w:t>Sold As Vacant</w:t>
            </w:r>
          </w:p>
        </w:tc>
        <w:tc>
          <w:tcPr>
            <w:tcW w:w="629" w:type="pct"/>
          </w:tcPr>
          <w:p w:rsidR="002743C8" w:rsidRPr="009C3846" w:rsidRDefault="002743C8" w:rsidP="002743C8">
            <w:pPr>
              <w:rPr>
                <w:sz w:val="18"/>
                <w:szCs w:val="18"/>
              </w:rPr>
            </w:pPr>
            <w:r w:rsidRPr="009C3846">
              <w:rPr>
                <w:sz w:val="18"/>
                <w:szCs w:val="18"/>
              </w:rPr>
              <w:t>0.138341</w:t>
            </w:r>
          </w:p>
        </w:tc>
      </w:tr>
      <w:tr w:rsidR="009C3846" w:rsidRPr="009C3846" w:rsidTr="00562DC6">
        <w:tc>
          <w:tcPr>
            <w:tcW w:w="1067" w:type="pct"/>
          </w:tcPr>
          <w:p w:rsidR="002743C8" w:rsidRPr="009C3846" w:rsidRDefault="002743C8" w:rsidP="002743C8">
            <w:pPr>
              <w:rPr>
                <w:sz w:val="18"/>
                <w:szCs w:val="18"/>
              </w:rPr>
            </w:pPr>
            <w:r w:rsidRPr="009C3846">
              <w:rPr>
                <w:sz w:val="18"/>
                <w:szCs w:val="18"/>
              </w:rPr>
              <w:t>Exterior Wall</w:t>
            </w:r>
          </w:p>
        </w:tc>
        <w:tc>
          <w:tcPr>
            <w:tcW w:w="857" w:type="pct"/>
          </w:tcPr>
          <w:p w:rsidR="002743C8" w:rsidRPr="009C3846" w:rsidRDefault="002743C8" w:rsidP="002743C8">
            <w:pPr>
              <w:rPr>
                <w:sz w:val="18"/>
                <w:szCs w:val="18"/>
              </w:rPr>
            </w:pPr>
            <w:r w:rsidRPr="009C3846">
              <w:rPr>
                <w:sz w:val="18"/>
                <w:szCs w:val="18"/>
              </w:rPr>
              <w:t>0.027347</w:t>
            </w:r>
          </w:p>
        </w:tc>
        <w:tc>
          <w:tcPr>
            <w:tcW w:w="817" w:type="pct"/>
            <w:vAlign w:val="center"/>
          </w:tcPr>
          <w:p w:rsidR="002743C8" w:rsidRPr="008F528C" w:rsidRDefault="002743C8" w:rsidP="002743C8">
            <w:pPr>
              <w:jc w:val="right"/>
              <w:rPr>
                <w:rFonts w:eastAsia="Times New Roman" w:cs="Helvetica"/>
                <w:color w:val="000000"/>
                <w:sz w:val="18"/>
                <w:szCs w:val="18"/>
              </w:rPr>
            </w:pPr>
            <w:r w:rsidRPr="008F528C">
              <w:rPr>
                <w:rFonts w:eastAsia="Times New Roman" w:cs="Helvetica"/>
                <w:color w:val="000000"/>
                <w:sz w:val="18"/>
                <w:szCs w:val="18"/>
              </w:rPr>
              <w:t>Grade</w:t>
            </w:r>
          </w:p>
        </w:tc>
        <w:tc>
          <w:tcPr>
            <w:tcW w:w="720" w:type="pct"/>
            <w:vAlign w:val="center"/>
          </w:tcPr>
          <w:p w:rsidR="002743C8" w:rsidRPr="008F528C" w:rsidRDefault="002743C8" w:rsidP="002743C8">
            <w:pPr>
              <w:jc w:val="right"/>
              <w:rPr>
                <w:rFonts w:eastAsia="Times New Roman" w:cs="Helvetica"/>
                <w:color w:val="000000"/>
                <w:sz w:val="18"/>
                <w:szCs w:val="18"/>
              </w:rPr>
            </w:pPr>
            <w:r w:rsidRPr="008F528C">
              <w:rPr>
                <w:rFonts w:eastAsia="Times New Roman" w:cs="Helvetica"/>
                <w:color w:val="000000"/>
                <w:sz w:val="18"/>
                <w:szCs w:val="18"/>
              </w:rPr>
              <w:t>0.090420</w:t>
            </w:r>
          </w:p>
        </w:tc>
        <w:tc>
          <w:tcPr>
            <w:tcW w:w="910" w:type="pct"/>
          </w:tcPr>
          <w:p w:rsidR="002743C8" w:rsidRPr="009C3846" w:rsidRDefault="002743C8" w:rsidP="002743C8">
            <w:pPr>
              <w:rPr>
                <w:sz w:val="18"/>
                <w:szCs w:val="18"/>
              </w:rPr>
            </w:pPr>
            <w:r w:rsidRPr="009C3846">
              <w:rPr>
                <w:sz w:val="18"/>
                <w:szCs w:val="18"/>
              </w:rPr>
              <w:t>Acreage</w:t>
            </w:r>
          </w:p>
        </w:tc>
        <w:tc>
          <w:tcPr>
            <w:tcW w:w="629" w:type="pct"/>
          </w:tcPr>
          <w:p w:rsidR="002743C8" w:rsidRPr="009C3846" w:rsidRDefault="002743C8" w:rsidP="002743C8">
            <w:pPr>
              <w:rPr>
                <w:sz w:val="18"/>
                <w:szCs w:val="18"/>
              </w:rPr>
            </w:pPr>
            <w:r w:rsidRPr="009C3846">
              <w:rPr>
                <w:sz w:val="18"/>
                <w:szCs w:val="18"/>
              </w:rPr>
              <w:t>0.111451</w:t>
            </w:r>
          </w:p>
        </w:tc>
      </w:tr>
    </w:tbl>
    <w:p w:rsidR="003D4B85" w:rsidRDefault="003D4B85" w:rsidP="009D0751"/>
    <w:tbl>
      <w:tblPr>
        <w:tblStyle w:val="TableGrid"/>
        <w:tblW w:w="0" w:type="auto"/>
        <w:tblLook w:val="04A0" w:firstRow="1" w:lastRow="0" w:firstColumn="1" w:lastColumn="0" w:noHBand="0" w:noVBand="1"/>
      </w:tblPr>
      <w:tblGrid>
        <w:gridCol w:w="2245"/>
        <w:gridCol w:w="1800"/>
        <w:gridCol w:w="1890"/>
        <w:gridCol w:w="1710"/>
        <w:gridCol w:w="1705"/>
      </w:tblGrid>
      <w:tr w:rsidR="00390850" w:rsidRPr="00FC4BFB" w:rsidTr="009C3846">
        <w:tc>
          <w:tcPr>
            <w:tcW w:w="2245" w:type="dxa"/>
          </w:tcPr>
          <w:p w:rsidR="00390850" w:rsidRPr="00FC4BFB" w:rsidRDefault="00390850" w:rsidP="008E04B0">
            <w:pPr>
              <w:rPr>
                <w:sz w:val="18"/>
                <w:szCs w:val="18"/>
              </w:rPr>
            </w:pPr>
            <w:r w:rsidRPr="00FC4BFB">
              <w:rPr>
                <w:sz w:val="18"/>
                <w:szCs w:val="18"/>
              </w:rPr>
              <w:t>Model</w:t>
            </w:r>
          </w:p>
        </w:tc>
        <w:tc>
          <w:tcPr>
            <w:tcW w:w="1800" w:type="dxa"/>
          </w:tcPr>
          <w:p w:rsidR="00390850" w:rsidRPr="00FC4BFB" w:rsidRDefault="00390850" w:rsidP="008E04B0">
            <w:pPr>
              <w:rPr>
                <w:sz w:val="18"/>
                <w:szCs w:val="18"/>
              </w:rPr>
            </w:pPr>
            <w:r w:rsidRPr="00FC4BFB">
              <w:rPr>
                <w:sz w:val="18"/>
                <w:szCs w:val="18"/>
              </w:rPr>
              <w:t>True Negatives</w:t>
            </w:r>
          </w:p>
        </w:tc>
        <w:tc>
          <w:tcPr>
            <w:tcW w:w="1890" w:type="dxa"/>
          </w:tcPr>
          <w:p w:rsidR="00390850" w:rsidRPr="00FC4BFB" w:rsidRDefault="00390850" w:rsidP="008E04B0">
            <w:pPr>
              <w:rPr>
                <w:sz w:val="18"/>
                <w:szCs w:val="18"/>
              </w:rPr>
            </w:pPr>
            <w:r w:rsidRPr="00FC4BFB">
              <w:rPr>
                <w:sz w:val="18"/>
                <w:szCs w:val="18"/>
              </w:rPr>
              <w:t>False Positives</w:t>
            </w:r>
          </w:p>
        </w:tc>
        <w:tc>
          <w:tcPr>
            <w:tcW w:w="1710" w:type="dxa"/>
          </w:tcPr>
          <w:p w:rsidR="00390850" w:rsidRPr="00FC4BFB" w:rsidRDefault="00390850" w:rsidP="008E04B0">
            <w:pPr>
              <w:rPr>
                <w:sz w:val="18"/>
                <w:szCs w:val="18"/>
              </w:rPr>
            </w:pPr>
            <w:r w:rsidRPr="00FC4BFB">
              <w:rPr>
                <w:sz w:val="18"/>
                <w:szCs w:val="18"/>
              </w:rPr>
              <w:t>False Negatives</w:t>
            </w:r>
          </w:p>
        </w:tc>
        <w:tc>
          <w:tcPr>
            <w:tcW w:w="1705" w:type="dxa"/>
          </w:tcPr>
          <w:p w:rsidR="00390850" w:rsidRPr="00FC4BFB" w:rsidRDefault="00390850" w:rsidP="008E04B0">
            <w:pPr>
              <w:rPr>
                <w:sz w:val="18"/>
                <w:szCs w:val="18"/>
              </w:rPr>
            </w:pPr>
            <w:r w:rsidRPr="00FC4BFB">
              <w:rPr>
                <w:sz w:val="18"/>
                <w:szCs w:val="18"/>
              </w:rPr>
              <w:t>True Positives</w:t>
            </w:r>
          </w:p>
        </w:tc>
      </w:tr>
      <w:tr w:rsidR="00390850" w:rsidRPr="00FC4BFB" w:rsidTr="009C3846">
        <w:tc>
          <w:tcPr>
            <w:tcW w:w="2245" w:type="dxa"/>
          </w:tcPr>
          <w:p w:rsidR="00390850" w:rsidRPr="00FC4BFB" w:rsidRDefault="00390850" w:rsidP="008E04B0">
            <w:pPr>
              <w:rPr>
                <w:sz w:val="18"/>
                <w:szCs w:val="18"/>
              </w:rPr>
            </w:pPr>
            <w:r w:rsidRPr="00FC4BFB">
              <w:rPr>
                <w:sz w:val="18"/>
                <w:szCs w:val="18"/>
              </w:rPr>
              <w:t>Logistic Regression</w:t>
            </w:r>
          </w:p>
        </w:tc>
        <w:tc>
          <w:tcPr>
            <w:tcW w:w="1800" w:type="dxa"/>
          </w:tcPr>
          <w:p w:rsidR="00390850" w:rsidRPr="00FC4BFB" w:rsidRDefault="00390850" w:rsidP="008E04B0">
            <w:pPr>
              <w:rPr>
                <w:sz w:val="18"/>
                <w:szCs w:val="18"/>
              </w:rPr>
            </w:pPr>
            <w:r w:rsidRPr="00FC4BFB">
              <w:rPr>
                <w:sz w:val="18"/>
                <w:szCs w:val="18"/>
              </w:rPr>
              <w:t>2678</w:t>
            </w:r>
          </w:p>
        </w:tc>
        <w:tc>
          <w:tcPr>
            <w:tcW w:w="1890" w:type="dxa"/>
          </w:tcPr>
          <w:p w:rsidR="00390850" w:rsidRPr="00FC4BFB" w:rsidRDefault="00390850" w:rsidP="008E04B0">
            <w:pPr>
              <w:rPr>
                <w:sz w:val="18"/>
                <w:szCs w:val="18"/>
              </w:rPr>
            </w:pPr>
            <w:r w:rsidRPr="00FC4BFB">
              <w:rPr>
                <w:sz w:val="18"/>
                <w:szCs w:val="18"/>
              </w:rPr>
              <w:t>35</w:t>
            </w:r>
          </w:p>
        </w:tc>
        <w:tc>
          <w:tcPr>
            <w:tcW w:w="1710" w:type="dxa"/>
          </w:tcPr>
          <w:p w:rsidR="00390850" w:rsidRPr="00FC4BFB" w:rsidRDefault="00390850" w:rsidP="008E04B0">
            <w:pPr>
              <w:rPr>
                <w:sz w:val="18"/>
                <w:szCs w:val="18"/>
              </w:rPr>
            </w:pPr>
            <w:r w:rsidRPr="00FC4BFB">
              <w:rPr>
                <w:sz w:val="18"/>
                <w:szCs w:val="18"/>
              </w:rPr>
              <w:t>855</w:t>
            </w:r>
          </w:p>
        </w:tc>
        <w:tc>
          <w:tcPr>
            <w:tcW w:w="1705" w:type="dxa"/>
          </w:tcPr>
          <w:p w:rsidR="00390850" w:rsidRPr="00FC4BFB" w:rsidRDefault="00390850" w:rsidP="008E04B0">
            <w:pPr>
              <w:rPr>
                <w:sz w:val="18"/>
                <w:szCs w:val="18"/>
              </w:rPr>
            </w:pPr>
            <w:r w:rsidRPr="00FC4BFB">
              <w:rPr>
                <w:sz w:val="18"/>
                <w:szCs w:val="18"/>
              </w:rPr>
              <w:t>17</w:t>
            </w:r>
          </w:p>
        </w:tc>
      </w:tr>
      <w:tr w:rsidR="00390850" w:rsidRPr="00FC4BFB" w:rsidTr="009C3846">
        <w:tc>
          <w:tcPr>
            <w:tcW w:w="2245" w:type="dxa"/>
          </w:tcPr>
          <w:p w:rsidR="00390850" w:rsidRPr="00FC4BFB" w:rsidRDefault="00390850" w:rsidP="008E04B0">
            <w:pPr>
              <w:rPr>
                <w:sz w:val="18"/>
                <w:szCs w:val="18"/>
              </w:rPr>
            </w:pPr>
            <w:r w:rsidRPr="00FC4BFB">
              <w:rPr>
                <w:sz w:val="18"/>
                <w:szCs w:val="18"/>
              </w:rPr>
              <w:t>Decision Tree</w:t>
            </w:r>
          </w:p>
        </w:tc>
        <w:tc>
          <w:tcPr>
            <w:tcW w:w="1800" w:type="dxa"/>
          </w:tcPr>
          <w:p w:rsidR="00390850" w:rsidRPr="00FC4BFB" w:rsidRDefault="00390850" w:rsidP="008E04B0">
            <w:pPr>
              <w:rPr>
                <w:sz w:val="18"/>
                <w:szCs w:val="18"/>
              </w:rPr>
            </w:pPr>
            <w:r w:rsidRPr="00FC4BFB">
              <w:rPr>
                <w:sz w:val="18"/>
                <w:szCs w:val="18"/>
              </w:rPr>
              <w:t>2640</w:t>
            </w:r>
          </w:p>
        </w:tc>
        <w:tc>
          <w:tcPr>
            <w:tcW w:w="1890" w:type="dxa"/>
          </w:tcPr>
          <w:p w:rsidR="00390850" w:rsidRPr="00FC4BFB" w:rsidRDefault="00390850" w:rsidP="008E04B0">
            <w:pPr>
              <w:rPr>
                <w:sz w:val="18"/>
                <w:szCs w:val="18"/>
              </w:rPr>
            </w:pPr>
            <w:r w:rsidRPr="00FC4BFB">
              <w:rPr>
                <w:sz w:val="18"/>
                <w:szCs w:val="18"/>
              </w:rPr>
              <w:t>73</w:t>
            </w:r>
          </w:p>
        </w:tc>
        <w:tc>
          <w:tcPr>
            <w:tcW w:w="1710" w:type="dxa"/>
          </w:tcPr>
          <w:p w:rsidR="00390850" w:rsidRPr="00FC4BFB" w:rsidRDefault="00390850" w:rsidP="008E04B0">
            <w:pPr>
              <w:rPr>
                <w:sz w:val="18"/>
                <w:szCs w:val="18"/>
              </w:rPr>
            </w:pPr>
            <w:r w:rsidRPr="00FC4BFB">
              <w:rPr>
                <w:sz w:val="18"/>
                <w:szCs w:val="18"/>
              </w:rPr>
              <w:t>807</w:t>
            </w:r>
          </w:p>
        </w:tc>
        <w:tc>
          <w:tcPr>
            <w:tcW w:w="1705" w:type="dxa"/>
          </w:tcPr>
          <w:p w:rsidR="00390850" w:rsidRPr="00FC4BFB" w:rsidRDefault="00390850" w:rsidP="008E04B0">
            <w:pPr>
              <w:rPr>
                <w:sz w:val="18"/>
                <w:szCs w:val="18"/>
              </w:rPr>
            </w:pPr>
            <w:r w:rsidRPr="00FC4BFB">
              <w:rPr>
                <w:sz w:val="18"/>
                <w:szCs w:val="18"/>
              </w:rPr>
              <w:t>65</w:t>
            </w:r>
          </w:p>
        </w:tc>
      </w:tr>
      <w:tr w:rsidR="00390850" w:rsidRPr="00FC4BFB" w:rsidTr="009C3846">
        <w:tc>
          <w:tcPr>
            <w:tcW w:w="2245" w:type="dxa"/>
          </w:tcPr>
          <w:p w:rsidR="00390850" w:rsidRPr="00FC4BFB" w:rsidRDefault="00390850" w:rsidP="008E04B0">
            <w:pPr>
              <w:rPr>
                <w:sz w:val="18"/>
                <w:szCs w:val="18"/>
              </w:rPr>
            </w:pPr>
            <w:r w:rsidRPr="00FC4BFB">
              <w:rPr>
                <w:sz w:val="18"/>
                <w:szCs w:val="18"/>
              </w:rPr>
              <w:t>Random Forest</w:t>
            </w:r>
          </w:p>
        </w:tc>
        <w:tc>
          <w:tcPr>
            <w:tcW w:w="1800" w:type="dxa"/>
          </w:tcPr>
          <w:p w:rsidR="00390850" w:rsidRPr="00FC4BFB" w:rsidRDefault="00390850" w:rsidP="008E04B0">
            <w:pPr>
              <w:rPr>
                <w:sz w:val="18"/>
                <w:szCs w:val="18"/>
              </w:rPr>
            </w:pPr>
            <w:r w:rsidRPr="00FC4BFB">
              <w:rPr>
                <w:sz w:val="18"/>
                <w:szCs w:val="18"/>
              </w:rPr>
              <w:t>2704</w:t>
            </w:r>
          </w:p>
        </w:tc>
        <w:tc>
          <w:tcPr>
            <w:tcW w:w="1890" w:type="dxa"/>
          </w:tcPr>
          <w:p w:rsidR="00390850" w:rsidRPr="00FC4BFB" w:rsidRDefault="00390850" w:rsidP="008E04B0">
            <w:pPr>
              <w:rPr>
                <w:sz w:val="18"/>
                <w:szCs w:val="18"/>
              </w:rPr>
            </w:pPr>
            <w:r w:rsidRPr="00FC4BFB">
              <w:rPr>
                <w:sz w:val="18"/>
                <w:szCs w:val="18"/>
              </w:rPr>
              <w:t>9</w:t>
            </w:r>
          </w:p>
        </w:tc>
        <w:tc>
          <w:tcPr>
            <w:tcW w:w="1710" w:type="dxa"/>
          </w:tcPr>
          <w:p w:rsidR="00390850" w:rsidRPr="00FC4BFB" w:rsidRDefault="00390850" w:rsidP="008E04B0">
            <w:pPr>
              <w:rPr>
                <w:sz w:val="18"/>
                <w:szCs w:val="18"/>
              </w:rPr>
            </w:pPr>
            <w:r w:rsidRPr="00FC4BFB">
              <w:rPr>
                <w:sz w:val="18"/>
                <w:szCs w:val="18"/>
              </w:rPr>
              <w:t>847</w:t>
            </w:r>
          </w:p>
        </w:tc>
        <w:tc>
          <w:tcPr>
            <w:tcW w:w="1705" w:type="dxa"/>
          </w:tcPr>
          <w:p w:rsidR="00390850" w:rsidRPr="00FC4BFB" w:rsidRDefault="00390850" w:rsidP="008E04B0">
            <w:pPr>
              <w:rPr>
                <w:sz w:val="18"/>
                <w:szCs w:val="18"/>
              </w:rPr>
            </w:pPr>
            <w:r w:rsidRPr="00FC4BFB">
              <w:rPr>
                <w:sz w:val="18"/>
                <w:szCs w:val="18"/>
              </w:rPr>
              <w:t>25</w:t>
            </w:r>
          </w:p>
        </w:tc>
      </w:tr>
      <w:tr w:rsidR="00390850" w:rsidRPr="00FC4BFB" w:rsidTr="009C3846">
        <w:tc>
          <w:tcPr>
            <w:tcW w:w="2245" w:type="dxa"/>
          </w:tcPr>
          <w:p w:rsidR="00390850" w:rsidRPr="00FC4BFB" w:rsidRDefault="00390850" w:rsidP="008E04B0">
            <w:pPr>
              <w:rPr>
                <w:sz w:val="18"/>
                <w:szCs w:val="18"/>
              </w:rPr>
            </w:pPr>
            <w:r w:rsidRPr="00FC4BFB">
              <w:rPr>
                <w:sz w:val="18"/>
                <w:szCs w:val="18"/>
              </w:rPr>
              <w:t>Gradient Boost</w:t>
            </w:r>
          </w:p>
        </w:tc>
        <w:tc>
          <w:tcPr>
            <w:tcW w:w="1800" w:type="dxa"/>
          </w:tcPr>
          <w:p w:rsidR="00390850" w:rsidRPr="00FC4BFB" w:rsidRDefault="00390850" w:rsidP="008E04B0">
            <w:pPr>
              <w:rPr>
                <w:sz w:val="18"/>
                <w:szCs w:val="18"/>
              </w:rPr>
            </w:pPr>
            <w:r w:rsidRPr="00FC4BFB">
              <w:rPr>
                <w:sz w:val="18"/>
                <w:szCs w:val="18"/>
              </w:rPr>
              <w:t>2652</w:t>
            </w:r>
          </w:p>
        </w:tc>
        <w:tc>
          <w:tcPr>
            <w:tcW w:w="1890" w:type="dxa"/>
          </w:tcPr>
          <w:p w:rsidR="00390850" w:rsidRPr="00FC4BFB" w:rsidRDefault="00390850" w:rsidP="008E04B0">
            <w:pPr>
              <w:rPr>
                <w:sz w:val="18"/>
                <w:szCs w:val="18"/>
              </w:rPr>
            </w:pPr>
            <w:r w:rsidRPr="00FC4BFB">
              <w:rPr>
                <w:sz w:val="18"/>
                <w:szCs w:val="18"/>
              </w:rPr>
              <w:t>61</w:t>
            </w:r>
          </w:p>
        </w:tc>
        <w:tc>
          <w:tcPr>
            <w:tcW w:w="1710" w:type="dxa"/>
          </w:tcPr>
          <w:p w:rsidR="00390850" w:rsidRPr="00FC4BFB" w:rsidRDefault="00390850" w:rsidP="008E04B0">
            <w:pPr>
              <w:rPr>
                <w:sz w:val="18"/>
                <w:szCs w:val="18"/>
              </w:rPr>
            </w:pPr>
            <w:r w:rsidRPr="00FC4BFB">
              <w:rPr>
                <w:sz w:val="18"/>
                <w:szCs w:val="18"/>
              </w:rPr>
              <w:t>810</w:t>
            </w:r>
          </w:p>
        </w:tc>
        <w:tc>
          <w:tcPr>
            <w:tcW w:w="1705" w:type="dxa"/>
          </w:tcPr>
          <w:p w:rsidR="00390850" w:rsidRPr="00FC4BFB" w:rsidRDefault="00390850" w:rsidP="008E04B0">
            <w:pPr>
              <w:rPr>
                <w:sz w:val="18"/>
                <w:szCs w:val="18"/>
              </w:rPr>
            </w:pPr>
            <w:r w:rsidRPr="00FC4BFB">
              <w:rPr>
                <w:sz w:val="18"/>
                <w:szCs w:val="18"/>
              </w:rPr>
              <w:t>62</w:t>
            </w:r>
          </w:p>
        </w:tc>
      </w:tr>
    </w:tbl>
    <w:p w:rsidR="004035FB" w:rsidRDefault="004035FB" w:rsidP="004035FB"/>
    <w:tbl>
      <w:tblPr>
        <w:tblStyle w:val="TableGrid"/>
        <w:tblW w:w="9445" w:type="dxa"/>
        <w:tblLook w:val="04A0" w:firstRow="1" w:lastRow="0" w:firstColumn="1" w:lastColumn="0" w:noHBand="0" w:noVBand="1"/>
      </w:tblPr>
      <w:tblGrid>
        <w:gridCol w:w="945"/>
        <w:gridCol w:w="2020"/>
        <w:gridCol w:w="1260"/>
        <w:gridCol w:w="2160"/>
        <w:gridCol w:w="3060"/>
      </w:tblGrid>
      <w:tr w:rsidR="00FC4BFB" w:rsidRPr="00FC4BFB" w:rsidTr="005B1F24">
        <w:tc>
          <w:tcPr>
            <w:tcW w:w="0" w:type="auto"/>
            <w:vAlign w:val="bottom"/>
          </w:tcPr>
          <w:p w:rsidR="004035FB" w:rsidRPr="004035FB" w:rsidRDefault="004035FB" w:rsidP="00EA19AD">
            <w:pPr>
              <w:jc w:val="center"/>
              <w:rPr>
                <w:rFonts w:eastAsia="Times New Roman" w:cs="Segoe UI"/>
                <w:bCs/>
                <w:sz w:val="18"/>
                <w:szCs w:val="18"/>
              </w:rPr>
            </w:pPr>
            <w:r w:rsidRPr="004035FB">
              <w:rPr>
                <w:rFonts w:eastAsia="Times New Roman" w:cs="Segoe UI"/>
                <w:bCs/>
                <w:sz w:val="18"/>
                <w:szCs w:val="18"/>
              </w:rPr>
              <w:t>Metric</w:t>
            </w:r>
          </w:p>
        </w:tc>
        <w:tc>
          <w:tcPr>
            <w:tcW w:w="2020" w:type="dxa"/>
            <w:vAlign w:val="bottom"/>
          </w:tcPr>
          <w:p w:rsidR="004035FB" w:rsidRPr="004035FB" w:rsidRDefault="004035FB" w:rsidP="00EA19AD">
            <w:pPr>
              <w:jc w:val="center"/>
              <w:rPr>
                <w:rFonts w:eastAsia="Times New Roman" w:cs="Segoe UI"/>
                <w:bCs/>
                <w:sz w:val="18"/>
                <w:szCs w:val="18"/>
              </w:rPr>
            </w:pPr>
            <w:r w:rsidRPr="004035FB">
              <w:rPr>
                <w:rFonts w:eastAsia="Times New Roman" w:cs="Segoe UI"/>
                <w:bCs/>
                <w:sz w:val="18"/>
                <w:szCs w:val="18"/>
              </w:rPr>
              <w:t>Logistic Regression</w:t>
            </w:r>
          </w:p>
        </w:tc>
        <w:tc>
          <w:tcPr>
            <w:tcW w:w="1260" w:type="dxa"/>
            <w:vAlign w:val="bottom"/>
          </w:tcPr>
          <w:p w:rsidR="004035FB" w:rsidRPr="004035FB" w:rsidRDefault="004035FB" w:rsidP="00EA19AD">
            <w:pPr>
              <w:jc w:val="center"/>
              <w:rPr>
                <w:rFonts w:eastAsia="Times New Roman" w:cs="Segoe UI"/>
                <w:bCs/>
                <w:sz w:val="18"/>
                <w:szCs w:val="18"/>
              </w:rPr>
            </w:pPr>
            <w:r w:rsidRPr="004035FB">
              <w:rPr>
                <w:rFonts w:eastAsia="Times New Roman" w:cs="Segoe UI"/>
                <w:bCs/>
                <w:sz w:val="18"/>
                <w:szCs w:val="18"/>
              </w:rPr>
              <w:t>Decision Tree</w:t>
            </w:r>
          </w:p>
        </w:tc>
        <w:tc>
          <w:tcPr>
            <w:tcW w:w="2160" w:type="dxa"/>
            <w:vAlign w:val="bottom"/>
          </w:tcPr>
          <w:p w:rsidR="004035FB" w:rsidRPr="004035FB" w:rsidRDefault="004035FB" w:rsidP="00EA19AD">
            <w:pPr>
              <w:jc w:val="center"/>
              <w:rPr>
                <w:rFonts w:eastAsia="Times New Roman" w:cs="Segoe UI"/>
                <w:bCs/>
                <w:sz w:val="18"/>
                <w:szCs w:val="18"/>
              </w:rPr>
            </w:pPr>
            <w:r w:rsidRPr="004035FB">
              <w:rPr>
                <w:rFonts w:eastAsia="Times New Roman" w:cs="Segoe UI"/>
                <w:bCs/>
                <w:sz w:val="18"/>
                <w:szCs w:val="18"/>
              </w:rPr>
              <w:t>Random Forest</w:t>
            </w:r>
          </w:p>
        </w:tc>
        <w:tc>
          <w:tcPr>
            <w:tcW w:w="3060" w:type="dxa"/>
            <w:vAlign w:val="bottom"/>
          </w:tcPr>
          <w:p w:rsidR="004035FB" w:rsidRPr="004035FB" w:rsidRDefault="004035FB" w:rsidP="00EA19AD">
            <w:pPr>
              <w:jc w:val="center"/>
              <w:rPr>
                <w:rFonts w:eastAsia="Times New Roman" w:cs="Segoe UI"/>
                <w:bCs/>
                <w:sz w:val="18"/>
                <w:szCs w:val="18"/>
              </w:rPr>
            </w:pPr>
            <w:r w:rsidRPr="004035FB">
              <w:rPr>
                <w:rFonts w:eastAsia="Times New Roman" w:cs="Segoe UI"/>
                <w:bCs/>
                <w:sz w:val="18"/>
                <w:szCs w:val="18"/>
              </w:rPr>
              <w:t>Gradient Boost</w:t>
            </w:r>
          </w:p>
        </w:tc>
      </w:tr>
      <w:tr w:rsidR="00FC4BFB" w:rsidRPr="00FC4BFB" w:rsidTr="005B1F24">
        <w:tc>
          <w:tcPr>
            <w:tcW w:w="0" w:type="auto"/>
            <w:vAlign w:val="bottom"/>
          </w:tcPr>
          <w:p w:rsidR="004035FB" w:rsidRPr="004035FB" w:rsidRDefault="004035FB" w:rsidP="00EA19AD">
            <w:pPr>
              <w:rPr>
                <w:rFonts w:eastAsia="Times New Roman" w:cs="Segoe UI"/>
                <w:sz w:val="18"/>
                <w:szCs w:val="18"/>
              </w:rPr>
            </w:pPr>
            <w:r w:rsidRPr="004035FB">
              <w:rPr>
                <w:rFonts w:eastAsia="Times New Roman" w:cs="Segoe UI"/>
                <w:bCs/>
                <w:sz w:val="18"/>
                <w:szCs w:val="18"/>
                <w:bdr w:val="single" w:sz="2" w:space="0" w:color="D9D9E3" w:frame="1"/>
              </w:rPr>
              <w:t>Accuracy</w:t>
            </w:r>
          </w:p>
        </w:tc>
        <w:tc>
          <w:tcPr>
            <w:tcW w:w="2020" w:type="dxa"/>
            <w:vAlign w:val="bottom"/>
          </w:tcPr>
          <w:p w:rsidR="004035FB" w:rsidRPr="004035FB" w:rsidRDefault="004035FB" w:rsidP="00EA19AD">
            <w:pPr>
              <w:rPr>
                <w:rFonts w:eastAsia="Times New Roman" w:cs="Segoe UI"/>
                <w:sz w:val="18"/>
                <w:szCs w:val="18"/>
              </w:rPr>
            </w:pPr>
            <w:r w:rsidRPr="004035FB">
              <w:rPr>
                <w:rFonts w:eastAsia="Times New Roman" w:cs="Segoe UI"/>
                <w:sz w:val="18"/>
                <w:szCs w:val="18"/>
              </w:rPr>
              <w:t>75.17%</w:t>
            </w:r>
          </w:p>
        </w:tc>
        <w:tc>
          <w:tcPr>
            <w:tcW w:w="1260" w:type="dxa"/>
            <w:vAlign w:val="bottom"/>
          </w:tcPr>
          <w:p w:rsidR="004035FB" w:rsidRPr="004035FB" w:rsidRDefault="004035FB" w:rsidP="00EA19AD">
            <w:pPr>
              <w:rPr>
                <w:rFonts w:eastAsia="Times New Roman" w:cs="Segoe UI"/>
                <w:sz w:val="18"/>
                <w:szCs w:val="18"/>
              </w:rPr>
            </w:pPr>
            <w:r w:rsidRPr="004035FB">
              <w:rPr>
                <w:rFonts w:eastAsia="Times New Roman" w:cs="Segoe UI"/>
                <w:sz w:val="18"/>
                <w:szCs w:val="18"/>
              </w:rPr>
              <w:t>75.45%</w:t>
            </w:r>
          </w:p>
        </w:tc>
        <w:tc>
          <w:tcPr>
            <w:tcW w:w="2160" w:type="dxa"/>
            <w:vAlign w:val="bottom"/>
          </w:tcPr>
          <w:p w:rsidR="004035FB" w:rsidRPr="004035FB" w:rsidRDefault="004035FB" w:rsidP="00EA19AD">
            <w:pPr>
              <w:rPr>
                <w:rFonts w:eastAsia="Times New Roman" w:cs="Segoe UI"/>
                <w:sz w:val="18"/>
                <w:szCs w:val="18"/>
              </w:rPr>
            </w:pPr>
            <w:r w:rsidRPr="004035FB">
              <w:rPr>
                <w:rFonts w:eastAsia="Times New Roman" w:cs="Segoe UI"/>
                <w:sz w:val="18"/>
                <w:szCs w:val="18"/>
              </w:rPr>
              <w:t>76.12%</w:t>
            </w:r>
          </w:p>
        </w:tc>
        <w:tc>
          <w:tcPr>
            <w:tcW w:w="3060" w:type="dxa"/>
            <w:vAlign w:val="bottom"/>
          </w:tcPr>
          <w:p w:rsidR="004035FB" w:rsidRPr="004035FB" w:rsidRDefault="004035FB" w:rsidP="00EA19AD">
            <w:pPr>
              <w:rPr>
                <w:rFonts w:eastAsia="Times New Roman" w:cs="Segoe UI"/>
                <w:sz w:val="18"/>
                <w:szCs w:val="18"/>
              </w:rPr>
            </w:pPr>
            <w:r w:rsidRPr="004035FB">
              <w:rPr>
                <w:rFonts w:eastAsia="Times New Roman" w:cs="Segoe UI"/>
                <w:sz w:val="18"/>
                <w:szCs w:val="18"/>
              </w:rPr>
              <w:t>75.7%</w:t>
            </w:r>
          </w:p>
        </w:tc>
      </w:tr>
      <w:tr w:rsidR="00FC4BFB" w:rsidRPr="00FC4BFB" w:rsidTr="005B1F24">
        <w:tc>
          <w:tcPr>
            <w:tcW w:w="0" w:type="auto"/>
            <w:vAlign w:val="bottom"/>
          </w:tcPr>
          <w:p w:rsidR="004035FB" w:rsidRPr="004035FB" w:rsidRDefault="004035FB" w:rsidP="00EA19AD">
            <w:pPr>
              <w:rPr>
                <w:rFonts w:eastAsia="Times New Roman" w:cs="Segoe UI"/>
                <w:sz w:val="18"/>
                <w:szCs w:val="18"/>
              </w:rPr>
            </w:pPr>
            <w:r w:rsidRPr="004035FB">
              <w:rPr>
                <w:rFonts w:eastAsia="Times New Roman" w:cs="Segoe UI"/>
                <w:bCs/>
                <w:sz w:val="18"/>
                <w:szCs w:val="18"/>
                <w:bdr w:val="single" w:sz="2" w:space="0" w:color="D9D9E3" w:frame="1"/>
              </w:rPr>
              <w:t>Recall</w:t>
            </w:r>
          </w:p>
        </w:tc>
        <w:tc>
          <w:tcPr>
            <w:tcW w:w="2020" w:type="dxa"/>
            <w:vAlign w:val="bottom"/>
          </w:tcPr>
          <w:p w:rsidR="004035FB" w:rsidRPr="004035FB" w:rsidRDefault="004035FB" w:rsidP="00EA19AD">
            <w:pPr>
              <w:rPr>
                <w:rFonts w:eastAsia="Times New Roman" w:cs="Segoe UI"/>
                <w:sz w:val="18"/>
                <w:szCs w:val="18"/>
              </w:rPr>
            </w:pPr>
            <w:r w:rsidRPr="004035FB">
              <w:rPr>
                <w:rFonts w:eastAsia="Times New Roman" w:cs="Segoe UI"/>
                <w:sz w:val="18"/>
                <w:szCs w:val="18"/>
              </w:rPr>
              <w:t>1.95%</w:t>
            </w:r>
          </w:p>
        </w:tc>
        <w:tc>
          <w:tcPr>
            <w:tcW w:w="1260" w:type="dxa"/>
            <w:vAlign w:val="bottom"/>
          </w:tcPr>
          <w:p w:rsidR="004035FB" w:rsidRPr="004035FB" w:rsidRDefault="004035FB" w:rsidP="00EA19AD">
            <w:pPr>
              <w:rPr>
                <w:rFonts w:eastAsia="Times New Roman" w:cs="Segoe UI"/>
                <w:sz w:val="18"/>
                <w:szCs w:val="18"/>
              </w:rPr>
            </w:pPr>
            <w:r w:rsidRPr="004035FB">
              <w:rPr>
                <w:rFonts w:eastAsia="Times New Roman" w:cs="Segoe UI"/>
                <w:sz w:val="18"/>
                <w:szCs w:val="18"/>
              </w:rPr>
              <w:t>7.45%</w:t>
            </w:r>
          </w:p>
        </w:tc>
        <w:tc>
          <w:tcPr>
            <w:tcW w:w="2160" w:type="dxa"/>
            <w:vAlign w:val="bottom"/>
          </w:tcPr>
          <w:p w:rsidR="004035FB" w:rsidRPr="004035FB" w:rsidRDefault="004035FB" w:rsidP="00EA19AD">
            <w:pPr>
              <w:rPr>
                <w:rFonts w:eastAsia="Times New Roman" w:cs="Segoe UI"/>
                <w:sz w:val="18"/>
                <w:szCs w:val="18"/>
              </w:rPr>
            </w:pPr>
            <w:r w:rsidRPr="004035FB">
              <w:rPr>
                <w:rFonts w:eastAsia="Times New Roman" w:cs="Segoe UI"/>
                <w:sz w:val="18"/>
                <w:szCs w:val="18"/>
              </w:rPr>
              <w:t>2.87%</w:t>
            </w:r>
          </w:p>
        </w:tc>
        <w:tc>
          <w:tcPr>
            <w:tcW w:w="3060" w:type="dxa"/>
            <w:vAlign w:val="bottom"/>
          </w:tcPr>
          <w:p w:rsidR="004035FB" w:rsidRPr="004035FB" w:rsidRDefault="004035FB" w:rsidP="00EA19AD">
            <w:pPr>
              <w:rPr>
                <w:rFonts w:eastAsia="Times New Roman" w:cs="Segoe UI"/>
                <w:sz w:val="18"/>
                <w:szCs w:val="18"/>
              </w:rPr>
            </w:pPr>
            <w:r w:rsidRPr="004035FB">
              <w:rPr>
                <w:rFonts w:eastAsia="Times New Roman" w:cs="Segoe UI"/>
                <w:sz w:val="18"/>
                <w:szCs w:val="18"/>
              </w:rPr>
              <w:t>7.11%</w:t>
            </w:r>
          </w:p>
        </w:tc>
      </w:tr>
      <w:tr w:rsidR="00FC4BFB" w:rsidRPr="00FC4BFB" w:rsidTr="005B1F24">
        <w:tc>
          <w:tcPr>
            <w:tcW w:w="0" w:type="auto"/>
            <w:vAlign w:val="bottom"/>
          </w:tcPr>
          <w:p w:rsidR="004035FB" w:rsidRPr="004035FB" w:rsidRDefault="004035FB" w:rsidP="00EA19AD">
            <w:pPr>
              <w:rPr>
                <w:rFonts w:eastAsia="Times New Roman" w:cs="Segoe UI"/>
                <w:sz w:val="18"/>
                <w:szCs w:val="18"/>
              </w:rPr>
            </w:pPr>
            <w:r w:rsidRPr="004035FB">
              <w:rPr>
                <w:rFonts w:eastAsia="Times New Roman" w:cs="Segoe UI"/>
                <w:bCs/>
                <w:sz w:val="18"/>
                <w:szCs w:val="18"/>
                <w:bdr w:val="single" w:sz="2" w:space="0" w:color="D9D9E3" w:frame="1"/>
              </w:rPr>
              <w:t>Precision</w:t>
            </w:r>
          </w:p>
        </w:tc>
        <w:tc>
          <w:tcPr>
            <w:tcW w:w="2020" w:type="dxa"/>
            <w:vAlign w:val="bottom"/>
          </w:tcPr>
          <w:p w:rsidR="004035FB" w:rsidRPr="004035FB" w:rsidRDefault="004035FB" w:rsidP="00EA19AD">
            <w:pPr>
              <w:rPr>
                <w:rFonts w:eastAsia="Times New Roman" w:cs="Segoe UI"/>
                <w:sz w:val="18"/>
                <w:szCs w:val="18"/>
              </w:rPr>
            </w:pPr>
            <w:r w:rsidRPr="004035FB">
              <w:rPr>
                <w:rFonts w:eastAsia="Times New Roman" w:cs="Segoe UI"/>
                <w:sz w:val="18"/>
                <w:szCs w:val="18"/>
              </w:rPr>
              <w:t>32.69%</w:t>
            </w:r>
          </w:p>
        </w:tc>
        <w:tc>
          <w:tcPr>
            <w:tcW w:w="1260" w:type="dxa"/>
            <w:vAlign w:val="bottom"/>
          </w:tcPr>
          <w:p w:rsidR="004035FB" w:rsidRPr="004035FB" w:rsidRDefault="004035FB" w:rsidP="00EA19AD">
            <w:pPr>
              <w:rPr>
                <w:rFonts w:eastAsia="Times New Roman" w:cs="Segoe UI"/>
                <w:sz w:val="18"/>
                <w:szCs w:val="18"/>
              </w:rPr>
            </w:pPr>
            <w:r w:rsidRPr="004035FB">
              <w:rPr>
                <w:rFonts w:eastAsia="Times New Roman" w:cs="Segoe UI"/>
                <w:sz w:val="18"/>
                <w:szCs w:val="18"/>
              </w:rPr>
              <w:t>47.1%</w:t>
            </w:r>
          </w:p>
        </w:tc>
        <w:tc>
          <w:tcPr>
            <w:tcW w:w="2160" w:type="dxa"/>
            <w:vAlign w:val="bottom"/>
          </w:tcPr>
          <w:p w:rsidR="004035FB" w:rsidRPr="004035FB" w:rsidRDefault="004035FB" w:rsidP="00EA19AD">
            <w:pPr>
              <w:rPr>
                <w:rFonts w:eastAsia="Times New Roman" w:cs="Segoe UI"/>
                <w:sz w:val="18"/>
                <w:szCs w:val="18"/>
              </w:rPr>
            </w:pPr>
            <w:r w:rsidRPr="004035FB">
              <w:rPr>
                <w:rFonts w:eastAsia="Times New Roman" w:cs="Segoe UI"/>
                <w:sz w:val="18"/>
                <w:szCs w:val="18"/>
              </w:rPr>
              <w:t>73.53%</w:t>
            </w:r>
          </w:p>
        </w:tc>
        <w:tc>
          <w:tcPr>
            <w:tcW w:w="3060" w:type="dxa"/>
            <w:vAlign w:val="bottom"/>
          </w:tcPr>
          <w:p w:rsidR="004035FB" w:rsidRPr="004035FB" w:rsidRDefault="004035FB" w:rsidP="00EA19AD">
            <w:pPr>
              <w:rPr>
                <w:rFonts w:eastAsia="Times New Roman" w:cs="Segoe UI"/>
                <w:sz w:val="18"/>
                <w:szCs w:val="18"/>
              </w:rPr>
            </w:pPr>
            <w:r w:rsidRPr="004035FB">
              <w:rPr>
                <w:rFonts w:eastAsia="Times New Roman" w:cs="Segoe UI"/>
                <w:sz w:val="18"/>
                <w:szCs w:val="18"/>
              </w:rPr>
              <w:t>50.41%</w:t>
            </w:r>
          </w:p>
        </w:tc>
      </w:tr>
      <w:tr w:rsidR="00FC4BFB" w:rsidRPr="00FC4BFB" w:rsidTr="005B1F24">
        <w:tc>
          <w:tcPr>
            <w:tcW w:w="0" w:type="auto"/>
            <w:vAlign w:val="bottom"/>
          </w:tcPr>
          <w:p w:rsidR="004035FB" w:rsidRPr="004035FB" w:rsidRDefault="004035FB" w:rsidP="00EA19AD">
            <w:pPr>
              <w:rPr>
                <w:rFonts w:eastAsia="Times New Roman" w:cs="Segoe UI"/>
                <w:sz w:val="18"/>
                <w:szCs w:val="18"/>
              </w:rPr>
            </w:pPr>
            <w:r w:rsidRPr="004035FB">
              <w:rPr>
                <w:rFonts w:eastAsia="Times New Roman" w:cs="Segoe UI"/>
                <w:bCs/>
                <w:sz w:val="18"/>
                <w:szCs w:val="18"/>
                <w:bdr w:val="single" w:sz="2" w:space="0" w:color="D9D9E3" w:frame="1"/>
              </w:rPr>
              <w:t>ROC_AUC</w:t>
            </w:r>
          </w:p>
        </w:tc>
        <w:tc>
          <w:tcPr>
            <w:tcW w:w="2020" w:type="dxa"/>
            <w:vAlign w:val="bottom"/>
          </w:tcPr>
          <w:p w:rsidR="004035FB" w:rsidRPr="004035FB" w:rsidRDefault="004035FB" w:rsidP="00EA19AD">
            <w:pPr>
              <w:rPr>
                <w:rFonts w:eastAsia="Times New Roman" w:cs="Segoe UI"/>
                <w:sz w:val="18"/>
                <w:szCs w:val="18"/>
              </w:rPr>
            </w:pPr>
            <w:r w:rsidRPr="004035FB">
              <w:rPr>
                <w:rFonts w:eastAsia="Times New Roman" w:cs="Segoe UI"/>
                <w:sz w:val="18"/>
                <w:szCs w:val="18"/>
              </w:rPr>
              <w:t>50.33%</w:t>
            </w:r>
          </w:p>
        </w:tc>
        <w:tc>
          <w:tcPr>
            <w:tcW w:w="1260" w:type="dxa"/>
            <w:vAlign w:val="bottom"/>
          </w:tcPr>
          <w:p w:rsidR="004035FB" w:rsidRPr="004035FB" w:rsidRDefault="004035FB" w:rsidP="00EA19AD">
            <w:pPr>
              <w:rPr>
                <w:rFonts w:eastAsia="Times New Roman" w:cs="Segoe UI"/>
                <w:sz w:val="18"/>
                <w:szCs w:val="18"/>
              </w:rPr>
            </w:pPr>
            <w:r w:rsidRPr="004035FB">
              <w:rPr>
                <w:rFonts w:eastAsia="Times New Roman" w:cs="Segoe UI"/>
                <w:sz w:val="18"/>
                <w:szCs w:val="18"/>
              </w:rPr>
              <w:t>52.38%</w:t>
            </w:r>
          </w:p>
        </w:tc>
        <w:tc>
          <w:tcPr>
            <w:tcW w:w="2160" w:type="dxa"/>
            <w:vAlign w:val="bottom"/>
          </w:tcPr>
          <w:p w:rsidR="004035FB" w:rsidRPr="004035FB" w:rsidRDefault="004035FB" w:rsidP="00EA19AD">
            <w:pPr>
              <w:rPr>
                <w:rFonts w:eastAsia="Times New Roman" w:cs="Segoe UI"/>
                <w:sz w:val="18"/>
                <w:szCs w:val="18"/>
              </w:rPr>
            </w:pPr>
            <w:r w:rsidRPr="004035FB">
              <w:rPr>
                <w:rFonts w:eastAsia="Times New Roman" w:cs="Segoe UI"/>
                <w:sz w:val="18"/>
                <w:szCs w:val="18"/>
              </w:rPr>
              <w:t>51.27%</w:t>
            </w:r>
          </w:p>
        </w:tc>
        <w:tc>
          <w:tcPr>
            <w:tcW w:w="3060" w:type="dxa"/>
            <w:vAlign w:val="bottom"/>
          </w:tcPr>
          <w:p w:rsidR="004035FB" w:rsidRPr="004035FB" w:rsidRDefault="004035FB" w:rsidP="00EA19AD">
            <w:pPr>
              <w:rPr>
                <w:rFonts w:eastAsia="Times New Roman" w:cs="Segoe UI"/>
                <w:sz w:val="18"/>
                <w:szCs w:val="18"/>
              </w:rPr>
            </w:pPr>
            <w:r w:rsidRPr="004035FB">
              <w:rPr>
                <w:rFonts w:eastAsia="Times New Roman" w:cs="Segoe UI"/>
                <w:sz w:val="18"/>
                <w:szCs w:val="18"/>
              </w:rPr>
              <w:t>52.43%</w:t>
            </w:r>
          </w:p>
        </w:tc>
      </w:tr>
      <w:tr w:rsidR="00FC4BFB" w:rsidRPr="00FC4BFB" w:rsidTr="005B1F24">
        <w:tc>
          <w:tcPr>
            <w:tcW w:w="0" w:type="auto"/>
            <w:vAlign w:val="bottom"/>
          </w:tcPr>
          <w:p w:rsidR="004035FB" w:rsidRPr="004035FB" w:rsidRDefault="004035FB" w:rsidP="00EA19AD">
            <w:pPr>
              <w:rPr>
                <w:rFonts w:eastAsia="Times New Roman" w:cs="Segoe UI"/>
                <w:sz w:val="18"/>
                <w:szCs w:val="18"/>
              </w:rPr>
            </w:pPr>
            <w:r w:rsidRPr="004035FB">
              <w:rPr>
                <w:rFonts w:eastAsia="Times New Roman" w:cs="Segoe UI"/>
                <w:bCs/>
                <w:sz w:val="18"/>
                <w:szCs w:val="18"/>
                <w:bdr w:val="single" w:sz="2" w:space="0" w:color="D9D9E3" w:frame="1"/>
              </w:rPr>
              <w:t>MSE</w:t>
            </w:r>
          </w:p>
        </w:tc>
        <w:tc>
          <w:tcPr>
            <w:tcW w:w="2020" w:type="dxa"/>
            <w:vAlign w:val="bottom"/>
          </w:tcPr>
          <w:p w:rsidR="004035FB" w:rsidRPr="004035FB" w:rsidRDefault="004035FB" w:rsidP="00EA19AD">
            <w:pPr>
              <w:rPr>
                <w:rFonts w:eastAsia="Times New Roman" w:cs="Segoe UI"/>
                <w:sz w:val="18"/>
                <w:szCs w:val="18"/>
              </w:rPr>
            </w:pPr>
            <w:r w:rsidRPr="004035FB">
              <w:rPr>
                <w:rFonts w:eastAsia="Times New Roman" w:cs="Segoe UI"/>
                <w:sz w:val="18"/>
                <w:szCs w:val="18"/>
              </w:rPr>
              <w:t>24.83%</w:t>
            </w:r>
          </w:p>
        </w:tc>
        <w:tc>
          <w:tcPr>
            <w:tcW w:w="1260" w:type="dxa"/>
            <w:vAlign w:val="bottom"/>
          </w:tcPr>
          <w:p w:rsidR="004035FB" w:rsidRPr="004035FB" w:rsidRDefault="004035FB" w:rsidP="00EA19AD">
            <w:pPr>
              <w:rPr>
                <w:rFonts w:eastAsia="Times New Roman" w:cs="Segoe UI"/>
                <w:sz w:val="18"/>
                <w:szCs w:val="18"/>
              </w:rPr>
            </w:pPr>
            <w:r w:rsidRPr="004035FB">
              <w:rPr>
                <w:rFonts w:eastAsia="Times New Roman" w:cs="Segoe UI"/>
                <w:sz w:val="18"/>
                <w:szCs w:val="18"/>
              </w:rPr>
              <w:t>24.55%</w:t>
            </w:r>
          </w:p>
        </w:tc>
        <w:tc>
          <w:tcPr>
            <w:tcW w:w="2160" w:type="dxa"/>
            <w:vAlign w:val="bottom"/>
          </w:tcPr>
          <w:p w:rsidR="004035FB" w:rsidRPr="004035FB" w:rsidRDefault="004035FB" w:rsidP="00EA19AD">
            <w:pPr>
              <w:rPr>
                <w:rFonts w:eastAsia="Times New Roman" w:cs="Segoe UI"/>
                <w:sz w:val="18"/>
                <w:szCs w:val="18"/>
              </w:rPr>
            </w:pPr>
            <w:r w:rsidRPr="004035FB">
              <w:rPr>
                <w:rFonts w:eastAsia="Times New Roman" w:cs="Segoe UI"/>
                <w:sz w:val="18"/>
                <w:szCs w:val="18"/>
              </w:rPr>
              <w:t>23.88%</w:t>
            </w:r>
          </w:p>
        </w:tc>
        <w:tc>
          <w:tcPr>
            <w:tcW w:w="3060" w:type="dxa"/>
            <w:vAlign w:val="bottom"/>
          </w:tcPr>
          <w:p w:rsidR="004035FB" w:rsidRPr="004035FB" w:rsidRDefault="004035FB" w:rsidP="00EA19AD">
            <w:pPr>
              <w:rPr>
                <w:rFonts w:eastAsia="Times New Roman" w:cs="Segoe UI"/>
                <w:sz w:val="18"/>
                <w:szCs w:val="18"/>
              </w:rPr>
            </w:pPr>
            <w:r w:rsidRPr="004035FB">
              <w:rPr>
                <w:rFonts w:eastAsia="Times New Roman" w:cs="Segoe UI"/>
                <w:sz w:val="18"/>
                <w:szCs w:val="18"/>
              </w:rPr>
              <w:t>24.3%</w:t>
            </w:r>
          </w:p>
        </w:tc>
      </w:tr>
    </w:tbl>
    <w:p w:rsidR="004035FB" w:rsidRDefault="004035FB" w:rsidP="00866919"/>
    <w:sectPr w:rsidR="004035F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2C52" w:rsidRDefault="00A72C52" w:rsidP="005F76FD">
      <w:pPr>
        <w:spacing w:after="0" w:line="240" w:lineRule="auto"/>
      </w:pPr>
      <w:r>
        <w:separator/>
      </w:r>
    </w:p>
  </w:endnote>
  <w:endnote w:type="continuationSeparator" w:id="0">
    <w:p w:rsidR="00A72C52" w:rsidRDefault="00A72C52" w:rsidP="005F7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2C52" w:rsidRDefault="00A72C52" w:rsidP="005F76FD">
      <w:pPr>
        <w:spacing w:after="0" w:line="240" w:lineRule="auto"/>
      </w:pPr>
      <w:r>
        <w:separator/>
      </w:r>
    </w:p>
  </w:footnote>
  <w:footnote w:type="continuationSeparator" w:id="0">
    <w:p w:rsidR="00A72C52" w:rsidRDefault="00A72C52" w:rsidP="005F76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76FD" w:rsidRDefault="005F76FD">
    <w:pPr>
      <w:pStyle w:val="Header"/>
    </w:pPr>
  </w:p>
  <w:p w:rsidR="005F76FD" w:rsidRDefault="005F76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3592A"/>
    <w:multiLevelType w:val="hybridMultilevel"/>
    <w:tmpl w:val="DB060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11B"/>
    <w:rsid w:val="000A56F6"/>
    <w:rsid w:val="0014255E"/>
    <w:rsid w:val="00197E8D"/>
    <w:rsid w:val="001A3D38"/>
    <w:rsid w:val="001F7212"/>
    <w:rsid w:val="00241E39"/>
    <w:rsid w:val="002543DC"/>
    <w:rsid w:val="002743C8"/>
    <w:rsid w:val="002F0CE6"/>
    <w:rsid w:val="00344958"/>
    <w:rsid w:val="00390850"/>
    <w:rsid w:val="00391ACB"/>
    <w:rsid w:val="003B011B"/>
    <w:rsid w:val="003C7F58"/>
    <w:rsid w:val="003D4B85"/>
    <w:rsid w:val="003D734B"/>
    <w:rsid w:val="004035FB"/>
    <w:rsid w:val="0043250C"/>
    <w:rsid w:val="00517A0F"/>
    <w:rsid w:val="00522C64"/>
    <w:rsid w:val="00562DC6"/>
    <w:rsid w:val="00596CCB"/>
    <w:rsid w:val="005A20F7"/>
    <w:rsid w:val="005B1F24"/>
    <w:rsid w:val="005C600B"/>
    <w:rsid w:val="005C643F"/>
    <w:rsid w:val="005D1728"/>
    <w:rsid w:val="005E1F27"/>
    <w:rsid w:val="005F76FD"/>
    <w:rsid w:val="00606C4B"/>
    <w:rsid w:val="006307A7"/>
    <w:rsid w:val="006F4E1F"/>
    <w:rsid w:val="007335F4"/>
    <w:rsid w:val="007F1B5F"/>
    <w:rsid w:val="00820488"/>
    <w:rsid w:val="00851EC5"/>
    <w:rsid w:val="00866919"/>
    <w:rsid w:val="00866C13"/>
    <w:rsid w:val="00895A24"/>
    <w:rsid w:val="008C0CFD"/>
    <w:rsid w:val="008D6036"/>
    <w:rsid w:val="008F528C"/>
    <w:rsid w:val="009238F0"/>
    <w:rsid w:val="009B78AA"/>
    <w:rsid w:val="009C3846"/>
    <w:rsid w:val="009D0751"/>
    <w:rsid w:val="00A60F5D"/>
    <w:rsid w:val="00A72C52"/>
    <w:rsid w:val="00AD69FE"/>
    <w:rsid w:val="00BD1D14"/>
    <w:rsid w:val="00E93BF7"/>
    <w:rsid w:val="00EE2B7A"/>
    <w:rsid w:val="00EE763B"/>
    <w:rsid w:val="00F501CD"/>
    <w:rsid w:val="00F755D1"/>
    <w:rsid w:val="00FB69FE"/>
    <w:rsid w:val="00FC4BFB"/>
    <w:rsid w:val="00FD5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B2E2FE6-C5FE-4F7E-9E8B-4B5B429B8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036"/>
    <w:pPr>
      <w:ind w:left="720"/>
      <w:contextualSpacing/>
    </w:pPr>
  </w:style>
  <w:style w:type="table" w:styleId="TableGrid">
    <w:name w:val="Table Grid"/>
    <w:basedOn w:val="TableNormal"/>
    <w:uiPriority w:val="39"/>
    <w:rsid w:val="00BD1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F76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6FD"/>
  </w:style>
  <w:style w:type="paragraph" w:styleId="Footer">
    <w:name w:val="footer"/>
    <w:basedOn w:val="Normal"/>
    <w:link w:val="FooterChar"/>
    <w:uiPriority w:val="99"/>
    <w:unhideWhenUsed/>
    <w:rsid w:val="005F76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6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987014">
      <w:bodyDiv w:val="1"/>
      <w:marLeft w:val="0"/>
      <w:marRight w:val="0"/>
      <w:marTop w:val="0"/>
      <w:marBottom w:val="0"/>
      <w:divBdr>
        <w:top w:val="none" w:sz="0" w:space="0" w:color="auto"/>
        <w:left w:val="none" w:sz="0" w:space="0" w:color="auto"/>
        <w:bottom w:val="none" w:sz="0" w:space="0" w:color="auto"/>
        <w:right w:val="none" w:sz="0" w:space="0" w:color="auto"/>
      </w:divBdr>
    </w:div>
    <w:div w:id="266623767">
      <w:bodyDiv w:val="1"/>
      <w:marLeft w:val="0"/>
      <w:marRight w:val="0"/>
      <w:marTop w:val="0"/>
      <w:marBottom w:val="0"/>
      <w:divBdr>
        <w:top w:val="none" w:sz="0" w:space="0" w:color="auto"/>
        <w:left w:val="none" w:sz="0" w:space="0" w:color="auto"/>
        <w:bottom w:val="none" w:sz="0" w:space="0" w:color="auto"/>
        <w:right w:val="none" w:sz="0" w:space="0" w:color="auto"/>
      </w:divBdr>
    </w:div>
    <w:div w:id="412580735">
      <w:bodyDiv w:val="1"/>
      <w:marLeft w:val="0"/>
      <w:marRight w:val="0"/>
      <w:marTop w:val="0"/>
      <w:marBottom w:val="0"/>
      <w:divBdr>
        <w:top w:val="none" w:sz="0" w:space="0" w:color="auto"/>
        <w:left w:val="none" w:sz="0" w:space="0" w:color="auto"/>
        <w:bottom w:val="none" w:sz="0" w:space="0" w:color="auto"/>
        <w:right w:val="none" w:sz="0" w:space="0" w:color="auto"/>
      </w:divBdr>
    </w:div>
    <w:div w:id="1443693343">
      <w:bodyDiv w:val="1"/>
      <w:marLeft w:val="0"/>
      <w:marRight w:val="0"/>
      <w:marTop w:val="0"/>
      <w:marBottom w:val="0"/>
      <w:divBdr>
        <w:top w:val="none" w:sz="0" w:space="0" w:color="auto"/>
        <w:left w:val="none" w:sz="0" w:space="0" w:color="auto"/>
        <w:bottom w:val="none" w:sz="0" w:space="0" w:color="auto"/>
        <w:right w:val="none" w:sz="0" w:space="0" w:color="auto"/>
      </w:divBdr>
    </w:div>
    <w:div w:id="1710952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1</Pages>
  <Words>2098</Words>
  <Characters>12549</Characters>
  <Application>Microsoft Office Word</Application>
  <DocSecurity>0</DocSecurity>
  <Lines>339</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39</cp:revision>
  <dcterms:created xsi:type="dcterms:W3CDTF">2023-12-01T23:21:00Z</dcterms:created>
  <dcterms:modified xsi:type="dcterms:W3CDTF">2023-12-02T14:21:00Z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fc6e3704-3b19-4354-b4bf-4a05ea7341a0</vt:lpwstr>
  </property>
</Properties>
</file>