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说明书摘要</w:t>
      </w:r>
    </w:p>
    <w:p/>
    <w:p>
      <w:pPr>
        <w:spacing w:lineRule="auto" w:line="360" w:before="0" w:after="0"/>
      </w:pPr>
      <w:r>
        <w:t>本发明属于自然语言处理与多模型协同技术领域，公开一种双大模型逻辑分歧自动检测与结构化解耦方法。针对现有方案难以定位分歧点、缺少可验证裁决与可追溯融合的问题，所述方法包括：对同一问题生成模型A与模型B输出，解析为论点单元并对齐匹配，识别并分类分歧点，生成子问题及依据片段，按证据检索计划进行子问题级裁决，形成结构化裁决记录并融合输出，输出包含共识区、分歧区、裁决区和待验证区。本发明可降低人工核对成本，提高一致性、可解释性与可审计性。</w:t>
      </w:r>
    </w:p>
    <w:p/>
    <w:sectPr w:rsidR="00FC693F" w:rsidRPr="0006063C" w:rsidSect="00034616">
      <w:pgSz w:w="11906" w:h="16838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Rule="auto" w:line="360"/>
    </w:pPr>
    <w:rPr>
      <w:rFonts w:ascii="Times New Roman" w:hAnsi="Times New Roman" w:eastAsia="宋体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