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jc w:val="center"/>
      </w:pPr>
      <w:r>
        <w:rPr>
          <w:b/>
          <w:bCs/>
          <w:color w:val="1F3864"/>
          <w:spacing w:val="20"/>
          <w:sz w:val="30"/>
          <w:szCs w:val="30"/>
        </w:rPr>
        <w:t xml:space="preserve">MAINCRAFTS TECHNOLOGY</w:t>
      </w:r>
    </w:p>
    <w:p>
      <w:pPr>
        <w:spacing w:after="600"/>
        <w:jc w:val="center"/>
      </w:pPr>
      <w:r>
        <w:rPr>
          <w:i/>
          <w:iCs/>
          <w:color w:val="595959"/>
          <w:sz w:val="24"/>
          <w:szCs w:val="24"/>
        </w:rPr>
        <w:t xml:space="preserve">Cyber Security &amp; Ethical Hacking Internship Program</w:t>
      </w:r>
    </w:p>
    <w:p>
      <w:pPr>
        <w:spacing w:after="200" w:before="400"/>
        <w:jc w:val="center"/>
      </w:pPr>
      <w:r>
        <w:rPr>
          <w:b/>
          <w:bCs/>
          <w:color w:val="2E74B5"/>
          <w:sz w:val="26"/>
          <w:szCs w:val="26"/>
        </w:rPr>
        <w:t xml:space="preserve">TASK-1</w:t>
      </w:r>
    </w:p>
    <w:p>
      <w:pPr>
        <w:spacing w:after="100"/>
        <w:jc w:val="center"/>
      </w:pPr>
      <w:r>
        <w:rPr>
          <w:b/>
          <w:bCs/>
          <w:color w:val="1F3864"/>
          <w:sz w:val="40"/>
          <w:szCs w:val="40"/>
        </w:rPr>
        <w:t xml:space="preserve">Cybersecurity Threat Intelligence Report</w:t>
      </w:r>
    </w:p>
    <w:p>
      <w:pPr>
        <w:spacing w:after="800"/>
        <w:jc w:val="center"/>
      </w:pPr>
      <w:r>
        <w:rPr>
          <w:color w:val="595959"/>
          <w:sz w:val="22"/>
          <w:szCs w:val="22"/>
        </w:rPr>
        <w:t xml:space="preserve">Modern Cyber Threats, Impact Analysis &amp; Preventive Measures (2024–2025)</w:t>
      </w:r>
    </w:p>
    <w:p>
      <w:pPr>
        <w:spacing w:after="60"/>
        <w:jc w:val="center"/>
      </w:pPr>
      <w:r>
        <w:rPr>
          <w:color w:val="595959"/>
          <w:sz w:val="20"/>
          <w:szCs w:val="20"/>
        </w:rPr>
        <w:t xml:space="preserve">Submitted by</w:t>
      </w:r>
    </w:p>
    <w:p>
      <w:pPr>
        <w:spacing w:after="40"/>
        <w:jc w:val="center"/>
      </w:pPr>
      <w:r>
        <w:rPr>
          <w:b/>
          <w:bCs/>
          <w:sz w:val="28"/>
          <w:szCs w:val="28"/>
        </w:rPr>
        <w:t xml:space="preserve">Deep Mondal</w:t>
      </w:r>
    </w:p>
    <w:p>
      <w:pPr>
        <w:spacing w:after="40"/>
        <w:jc w:val="center"/>
      </w:pPr>
      <w:r>
        <w:rPr>
          <w:sz w:val="21"/>
          <w:szCs w:val="21"/>
        </w:rPr>
        <w:t xml:space="preserve">Intern ID: MT6515</w:t>
      </w:r>
    </w:p>
    <w:p>
      <w:pPr>
        <w:spacing w:after="40"/>
        <w:jc w:val="center"/>
      </w:pPr>
      <w:r>
        <w:rPr>
          <w:sz w:val="21"/>
          <w:szCs w:val="21"/>
        </w:rPr>
        <w:t xml:space="preserve">Domain: Cyber Security &amp; Ethical Hacking</w:t>
      </w:r>
    </w:p>
    <w:p>
      <w:pPr>
        <w:spacing w:after="700"/>
        <w:jc w:val="center"/>
      </w:pPr>
      <w:r>
        <w:rPr>
          <w:sz w:val="21"/>
          <w:szCs w:val="21"/>
        </w:rPr>
        <w:t xml:space="preserve">Internship Duration: 07 July 2026 – 22 August 2026</w:t>
      </w:r>
    </w:p>
    <w:p>
      <w:pPr>
        <w:jc w:val="center"/>
      </w:pPr>
      <w:r>
        <w:rPr>
          <w:color w:val="2E74B5"/>
          <w:sz w:val="20"/>
          <w:szCs w:val="20"/>
        </w:rPr>
        <w:t xml:space="preserve">www.maincrafts.com</w:t>
      </w:r>
    </w:p>
    <w:p>
      <w:r>
        <w:br w:type="page"/>
      </w:r>
    </w:p>
    <w:p>
      <w:pPr>
        <w:pStyle w:val="Heading1"/>
      </w:pPr>
      <w:r>
        <w:t xml:space="preserve">Table of Contents</w:t>
      </w:r>
    </w:p>
    <w:p>
      <w:pPr>
        <w:tabs>
          <w:tab w:val="right" w:pos="9500" w:leader="dot"/>
        </w:tabs>
        <w:spacing w:after="140"/>
        <w:ind w:left="0"/>
      </w:pPr>
      <w:r>
        <w:rPr>
          <w:sz w:val="22"/>
          <w:szCs w:val="22"/>
        </w:rPr>
        <w:t xml:space="preserve">1. Introduction to Cybersecurity</w:t>
      </w:r>
      <w:r>
        <w:rPr>
          <w:sz w:val="22"/>
          <w:szCs w:val="22"/>
        </w:rPr>
        <w:t xml:space="preserve">	3</w:t>
      </w:r>
    </w:p>
    <w:p>
      <w:pPr>
        <w:tabs>
          <w:tab w:val="right" w:pos="9500" w:leader="dot"/>
        </w:tabs>
        <w:spacing w:after="140"/>
        <w:ind w:left="0"/>
      </w:pPr>
      <w:r>
        <w:rPr>
          <w:sz w:val="22"/>
          <w:szCs w:val="22"/>
        </w:rPr>
        <w:t xml:space="preserve">2. Major Modern Cyber Threats, Impact &amp; Case Studies</w:t>
      </w:r>
      <w:r>
        <w:rPr>
          <w:sz w:val="22"/>
          <w:szCs w:val="22"/>
        </w:rPr>
        <w:t xml:space="preserve">	3</w:t>
      </w:r>
    </w:p>
    <w:p>
      <w:pPr>
        <w:tabs>
          <w:tab w:val="right" w:pos="9500" w:leader="dot"/>
        </w:tabs>
        <w:spacing w:after="140"/>
        <w:ind w:left="360"/>
      </w:pPr>
      <w:r>
        <w:rPr>
          <w:sz w:val="22"/>
          <w:szCs w:val="22"/>
        </w:rPr>
        <w:t xml:space="preserve">2.1 AI-Powered Phishing Attacks</w:t>
      </w:r>
      <w:r>
        <w:rPr>
          <w:sz w:val="22"/>
          <w:szCs w:val="22"/>
        </w:rPr>
        <w:t xml:space="preserve">	3</w:t>
      </w:r>
    </w:p>
    <w:p>
      <w:pPr>
        <w:tabs>
          <w:tab w:val="right" w:pos="9500" w:leader="dot"/>
        </w:tabs>
        <w:spacing w:after="140"/>
        <w:ind w:left="360"/>
      </w:pPr>
      <w:r>
        <w:rPr>
          <w:sz w:val="22"/>
          <w:szCs w:val="22"/>
        </w:rPr>
        <w:t xml:space="preserve">2.2 Ransomware-as-a-Service (RaaS)</w:t>
      </w:r>
      <w:r>
        <w:rPr>
          <w:sz w:val="22"/>
          <w:szCs w:val="22"/>
        </w:rPr>
        <w:t xml:space="preserve">	4</w:t>
      </w:r>
    </w:p>
    <w:p>
      <w:pPr>
        <w:tabs>
          <w:tab w:val="right" w:pos="9500" w:leader="dot"/>
        </w:tabs>
        <w:spacing w:after="140"/>
        <w:ind w:left="360"/>
      </w:pPr>
      <w:r>
        <w:rPr>
          <w:sz w:val="22"/>
          <w:szCs w:val="22"/>
        </w:rPr>
        <w:t xml:space="preserve">2.3 Cloud Security Misconfigurations</w:t>
      </w:r>
      <w:r>
        <w:rPr>
          <w:sz w:val="22"/>
          <w:szCs w:val="22"/>
        </w:rPr>
        <w:t xml:space="preserve">	4</w:t>
      </w:r>
    </w:p>
    <w:p>
      <w:pPr>
        <w:tabs>
          <w:tab w:val="right" w:pos="9500" w:leader="dot"/>
        </w:tabs>
        <w:spacing w:after="140"/>
        <w:ind w:left="360"/>
      </w:pPr>
      <w:r>
        <w:rPr>
          <w:sz w:val="22"/>
          <w:szCs w:val="22"/>
        </w:rPr>
        <w:t xml:space="preserve">2.4 IoT Vulnerabilities</w:t>
      </w:r>
      <w:r>
        <w:rPr>
          <w:sz w:val="22"/>
          <w:szCs w:val="22"/>
        </w:rPr>
        <w:t xml:space="preserve">	5</w:t>
      </w:r>
    </w:p>
    <w:p>
      <w:pPr>
        <w:tabs>
          <w:tab w:val="right" w:pos="9500" w:leader="dot"/>
        </w:tabs>
        <w:spacing w:after="140"/>
        <w:ind w:left="360"/>
      </w:pPr>
      <w:r>
        <w:rPr>
          <w:sz w:val="22"/>
          <w:szCs w:val="22"/>
        </w:rPr>
        <w:t xml:space="preserve">2.5 Zero-Day Exploits</w:t>
      </w:r>
      <w:r>
        <w:rPr>
          <w:sz w:val="22"/>
          <w:szCs w:val="22"/>
        </w:rPr>
        <w:t xml:space="preserve">	6</w:t>
      </w:r>
    </w:p>
    <w:p>
      <w:pPr>
        <w:tabs>
          <w:tab w:val="right" w:pos="9500" w:leader="dot"/>
        </w:tabs>
        <w:spacing w:after="140"/>
        <w:ind w:left="0"/>
      </w:pPr>
      <w:r>
        <w:rPr>
          <w:sz w:val="22"/>
          <w:szCs w:val="22"/>
        </w:rPr>
        <w:t xml:space="preserve">3. Conclusion &amp; Future Scope</w:t>
      </w:r>
      <w:r>
        <w:rPr>
          <w:sz w:val="22"/>
          <w:szCs w:val="22"/>
        </w:rPr>
        <w:t xml:space="preserve">	6</w:t>
      </w:r>
    </w:p>
    <w:p>
      <w:pPr>
        <w:tabs>
          <w:tab w:val="right" w:pos="9500" w:leader="dot"/>
        </w:tabs>
        <w:spacing w:after="140"/>
        <w:ind w:left="0"/>
      </w:pPr>
      <w:r>
        <w:rPr>
          <w:sz w:val="22"/>
          <w:szCs w:val="22"/>
        </w:rPr>
        <w:t xml:space="preserve">4. References</w:t>
      </w:r>
      <w:r>
        <w:rPr>
          <w:sz w:val="22"/>
          <w:szCs w:val="22"/>
        </w:rPr>
        <w:t xml:space="preserve">	7</w:t>
      </w:r>
    </w:p>
    <w:p>
      <w:r>
        <w:br w:type="page"/>
      </w:r>
    </w:p>
    <w:p>
      <w:pPr>
        <w:pStyle w:val="Heading1"/>
      </w:pPr>
      <w:r>
        <w:t xml:space="preserve">1. Introduction to Cybersecurity</w:t>
      </w:r>
    </w:p>
    <w:p>
      <w:pPr>
        <w:spacing w:after="60" w:before="160"/>
      </w:pPr>
      <w:r>
        <w:rPr>
          <w:b/>
          <w:bCs/>
          <w:color w:val="1F3864"/>
          <w:sz w:val="22"/>
          <w:szCs w:val="22"/>
        </w:rPr>
        <w:t xml:space="preserve">What is Cybersecurity?</w:t>
      </w:r>
    </w:p>
    <w:p>
      <w:pPr>
        <w:spacing w:after="120"/>
        <w:jc w:val="both"/>
      </w:pPr>
      <w:r>
        <w:rPr>
          <w:sz w:val="22"/>
          <w:szCs w:val="22"/>
        </w:rPr>
        <w:t xml:space="preserve">Cybersecurity is the practice of protecting networks, systems, devices, applications, and data from unauthorized access, damage, theft, or disruption. It combines technology, processes, and people-focused practices to defend digital assets against an ever-growing range of threats, from opportunistic malware to highly organized, financially motivated criminal groups and state-sponsored actors.</w:t>
      </w:r>
    </w:p>
    <w:p>
      <w:pPr>
        <w:spacing w:after="60" w:before="160"/>
      </w:pPr>
      <w:r>
        <w:rPr>
          <w:b/>
          <w:bCs/>
          <w:color w:val="1F3864"/>
          <w:sz w:val="22"/>
          <w:szCs w:val="22"/>
        </w:rPr>
        <w:t xml:space="preserve">Why is it Important for Individuals and Businesses?</w:t>
      </w:r>
    </w:p>
    <w:p>
      <w:pPr>
        <w:spacing w:after="120"/>
        <w:jc w:val="both"/>
      </w:pPr>
      <w:r>
        <w:rPr>
          <w:sz w:val="22"/>
          <w:szCs w:val="22"/>
        </w:rPr>
        <w:t xml:space="preserve">For individuals, cybersecurity protects personal identity, financial accounts, health records, and private communications from theft and misuse. A single compromised password or a successful phishing email can lead to drained bank accounts, identity fraud, or blackmail. For businesses, the stakes are even higher: a breach can halt operations, expose customer and employee data, trigger regulatory penalties, damage brand reputation, and cost millions of dollars in remediation, legal fees, and lost revenue. In sectors such as healthcare, finance, and critical infrastructure, a cyberattack can also endanger physical safety and public trust.</w:t>
      </w:r>
    </w:p>
    <w:p>
      <w:pPr>
        <w:spacing w:after="60" w:before="160"/>
      </w:pPr>
      <w:r>
        <w:rPr>
          <w:b/>
          <w:bCs/>
          <w:color w:val="1F3864"/>
          <w:sz w:val="22"/>
          <w:szCs w:val="22"/>
        </w:rPr>
        <w:t xml:space="preserve">Current Relevance</w:t>
      </w:r>
    </w:p>
    <w:p>
      <w:pPr>
        <w:spacing w:after="120"/>
        <w:jc w:val="both"/>
      </w:pPr>
      <w:r>
        <w:rPr>
          <w:sz w:val="22"/>
          <w:szCs w:val="22"/>
        </w:rPr>
        <w:t xml:space="preserve">Cybercrime has grown into one of the most significant risks facing the global economy. Digital dependency has expanded dramatically as remote work, cloud computing, mobile banking, and connected "smart" devices have become part of everyday life, creating a much larger attack surface for criminals to exploit. At the same time, the rise of generative AI has lowered the barrier to entry for attackers: convincing phishing emails, cloned voices, and deepfake videos can now be produced in minutes rather than days. Ransomware groups increasingly operate as commercial enterprises, renting out their tools to affiliates and running "customer support" style negotiation portals for victims. Together, these trends mean that both the volume and sophistication of attacks are rising every year, making continuous vigilance essential for individuals and organizations alike.</w:t>
      </w:r>
    </w:p>
    <w:p>
      <w:pPr>
        <w:pStyle w:val="Heading1"/>
      </w:pPr>
      <w:r>
        <w:t xml:space="preserve">2. Major Modern Cyber Threats, Impact &amp; Case Studies</w:t>
      </w:r>
    </w:p>
    <w:p>
      <w:pPr>
        <w:spacing w:after="120"/>
        <w:jc w:val="both"/>
      </w:pPr>
      <w:r>
        <w:rPr>
          <w:sz w:val="22"/>
          <w:szCs w:val="22"/>
        </w:rPr>
        <w:t xml:space="preserve">This section identifies five of the most significant categories of modern cyber threats. For each threat, the report explains how it works, analyzes its impact on individuals and organizations, presents a real-world incident from 2024–2025, and outlines practical preventive measures.</w:t>
      </w:r>
    </w:p>
    <w:p>
      <w:pPr>
        <w:pStyle w:val="Heading2"/>
        <w:spacing w:after="120" w:before="320"/>
      </w:pPr>
      <w:r>
        <w:t xml:space="preserve">1. AI-Powered Phishing Attacks (Emails, Deepfakes &amp; Social Engineering)</w:t>
      </w:r>
    </w:p>
    <w:p>
      <w:pPr>
        <w:spacing w:after="120"/>
        <w:jc w:val="both"/>
      </w:pPr>
      <w:r>
        <w:rPr>
          <w:sz w:val="22"/>
          <w:szCs w:val="22"/>
        </w:rPr>
        <w:t xml:space="preserve">Attackers now use generative AI to craft highly personalized phishing emails, clone voices, and generate real-time deepfake video calls that impersonate executives, colleagues, or trusted institutions. Unlike traditional phishing, which often contains spelling errors or generic language, AI-generated lures are grammatically flawless, contextually relevant, and can reference real projects or public information scraped from the internet, making them far harder to detect.</w:t>
      </w:r>
    </w:p>
    <w:p>
      <w:pPr>
        <w:spacing w:after="60" w:before="160"/>
      </w:pPr>
      <w:r>
        <w:rPr>
          <w:b/>
          <w:bCs/>
          <w:color w:val="1F3864"/>
          <w:sz w:val="22"/>
          <w:szCs w:val="22"/>
        </w:rPr>
        <w:t xml:space="preserve">Impact</w:t>
      </w:r>
    </w:p>
    <w:p>
      <w:pPr>
        <w:spacing w:after="120"/>
        <w:jc w:val="both"/>
      </w:pPr>
      <w:r>
        <w:rPr>
          <w:sz w:val="22"/>
          <w:szCs w:val="22"/>
        </w:rPr>
        <w:t xml:space="preserve">Individuals may be tricked into revealing passwords, one-time codes, or banking details, leading to direct financial loss and identity theft. Organizations face business email compromise, unauthorized wire transfers, and erosion of trust in routine communication channels such as video calls, which were historically considered reliable proof of identity.</w:t>
      </w:r>
    </w:p>
    <w:p>
      <w:pPr>
        <w:spacing w:after="60" w:before="160"/>
      </w:pPr>
      <w:r>
        <w:rPr>
          <w:b/>
          <w:bCs/>
          <w:color w:val="1F3864"/>
          <w:sz w:val="22"/>
          <w:szCs w:val="22"/>
        </w:rPr>
        <w:t xml:space="preserve">Real-World Case Study: The Arup Deepfake Fraud (February 2024)</w:t>
      </w:r>
    </w:p>
    <w:p>
      <w:pPr>
        <w:spacing w:after="120"/>
        <w:jc w:val="both"/>
      </w:pPr>
      <w:r>
        <w:rPr>
          <w:sz w:val="22"/>
          <w:szCs w:val="22"/>
        </w:rPr>
        <w:t xml:space="preserve">A finance employee at the British engineering firm Arup joined what appeared to be a legitimate video conference with the company's CFO and several senior colleagues. Every participant on the call was in fact an AI-generated deepfake, built using publicly available footage of the real executives. Convinced by the realistic voices and faces, the employee authorized fifteen transactions totaling approximately 25 million US dollars before the fraud was discovered. The incident demonstrated that multi-person video calls can no longer be treated as a trustworthy verification method on their own.</w:t>
      </w:r>
    </w:p>
    <w:p>
      <w:pPr>
        <w:spacing w:after="60" w:before="160"/>
      </w:pPr>
      <w:r>
        <w:rPr>
          <w:b/>
          <w:bCs/>
          <w:color w:val="1F3864"/>
          <w:sz w:val="22"/>
          <w:szCs w:val="22"/>
        </w:rPr>
        <w:t xml:space="preserve">Preventive Measures</w:t>
      </w:r>
    </w:p>
    <w:p>
      <w:pPr>
        <w:pStyle w:val="ListParagraph"/>
        <w:numPr>
          <w:ilvl w:val="0"/>
          <w:numId w:val="2"/>
        </w:numPr>
        <w:spacing w:after="80"/>
      </w:pPr>
      <w:r>
        <w:t xml:space="preserve">Verify high-value or unusual financial requests through a separate, pre-established channel (e.g., a callback to a known phone number) rather than relying on the channel the request arrived through.</w:t>
      </w:r>
    </w:p>
    <w:p>
      <w:pPr>
        <w:pStyle w:val="ListParagraph"/>
        <w:numPr>
          <w:ilvl w:val="0"/>
          <w:numId w:val="2"/>
        </w:numPr>
        <w:spacing w:after="80"/>
      </w:pPr>
      <w:r>
        <w:t xml:space="preserve">Train employees to recognize social engineering red flags and conduct regular phishing simulation exercises.</w:t>
      </w:r>
    </w:p>
    <w:p>
      <w:pPr>
        <w:pStyle w:val="ListParagraph"/>
        <w:numPr>
          <w:ilvl w:val="0"/>
          <w:numId w:val="2"/>
        </w:numPr>
        <w:spacing w:after="80"/>
      </w:pPr>
      <w:r>
        <w:t xml:space="preserve">Deploy AI-aware email security and deepfake-detection tools, and enforce multi-person or out-of-band approval for large fund transfers.</w:t>
      </w:r>
    </w:p>
    <w:p>
      <w:pPr>
        <w:pStyle w:val="Heading2"/>
        <w:spacing w:after="120" w:before="320"/>
      </w:pPr>
      <w:r>
        <w:t xml:space="preserve">2. Ransomware-as-a-Service (RaaS)</w:t>
      </w:r>
    </w:p>
    <w:p>
      <w:pPr>
        <w:spacing w:after="120"/>
        <w:jc w:val="both"/>
      </w:pPr>
      <w:r>
        <w:rPr>
          <w:sz w:val="22"/>
          <w:szCs w:val="22"/>
        </w:rPr>
        <w:t xml:space="preserve">Ransomware-as-a-Service is a criminal business model in which developers build and maintain ransomware toolkits and then lease them to "affiliates" who carry out the actual attacks in exchange for a share of the ransom, often 70–90 percent. This model has professionalized cybercrime, allowing even less technically skilled criminals to launch sophisticated attacks, and typically relies on "double extortion": encrypting a victim's data while also stealing a copy and threatening to publish it if the ransom is not paid.</w:t>
      </w:r>
    </w:p>
    <w:p>
      <w:pPr>
        <w:spacing w:after="60" w:before="160"/>
      </w:pPr>
      <w:r>
        <w:rPr>
          <w:b/>
          <w:bCs/>
          <w:color w:val="1F3864"/>
          <w:sz w:val="22"/>
          <w:szCs w:val="22"/>
        </w:rPr>
        <w:t xml:space="preserve">Impact</w:t>
      </w:r>
    </w:p>
    <w:p>
      <w:pPr>
        <w:spacing w:after="120"/>
        <w:jc w:val="both"/>
      </w:pPr>
      <w:r>
        <w:rPr>
          <w:sz w:val="22"/>
          <w:szCs w:val="22"/>
        </w:rPr>
        <w:t xml:space="preserve">Individuals affected by RaaS breaches — for example, patients or customers whose records are stolen — face identity theft and long-term exposure of sensitive personal or medical information. Organizations experience operational downtime, direct ransom costs, regulatory fines, lawsuits, and severe reputational damage, particularly in sectors like healthcare where system outages can delay patient care.</w:t>
      </w:r>
    </w:p>
    <w:p>
      <w:pPr>
        <w:spacing w:after="60" w:before="160"/>
      </w:pPr>
      <w:r>
        <w:rPr>
          <w:b/>
          <w:bCs/>
          <w:color w:val="1F3864"/>
          <w:sz w:val="22"/>
          <w:szCs w:val="22"/>
        </w:rPr>
        <w:t xml:space="preserve">Real-World Case Study: The Change Healthcare Attack (February 2024)</w:t>
      </w:r>
    </w:p>
    <w:p>
      <w:pPr>
        <w:spacing w:after="120"/>
        <w:jc w:val="both"/>
      </w:pPr>
      <w:r>
        <w:rPr>
          <w:sz w:val="22"/>
          <w:szCs w:val="22"/>
        </w:rPr>
        <w:t xml:space="preserve">The ALPHV/BlackCat ransomware gang, operating under a RaaS model, compromised Change Healthcare — a payment-processing company central to the U.S. healthcare system — after gaining access through a remote-access application that lacked multi-factor authentication. Over roughly nine days, attackers moved through the network, exfiltrated several terabytes of sensitive patient data, and then deployed ransomware that disrupted billing and claims processing across thousands of pharmacies and healthcare providers nationwide. Change Healthcare's parent company, UnitedHealth Group, later confirmed it paid an estimated 22 million US dollars in ransom, and the breach ultimately exposed the health records of over 100 million individuals, making it one of the largest healthcare data breaches in U.S. history.</w:t>
      </w:r>
    </w:p>
    <w:p>
      <w:pPr>
        <w:spacing w:after="60" w:before="160"/>
      </w:pPr>
      <w:r>
        <w:rPr>
          <w:b/>
          <w:bCs/>
          <w:color w:val="1F3864"/>
          <w:sz w:val="22"/>
          <w:szCs w:val="22"/>
        </w:rPr>
        <w:t xml:space="preserve">Preventive Measures</w:t>
      </w:r>
    </w:p>
    <w:p>
      <w:pPr>
        <w:pStyle w:val="ListParagraph"/>
        <w:numPr>
          <w:ilvl w:val="0"/>
          <w:numId w:val="2"/>
        </w:numPr>
        <w:spacing w:after="80"/>
      </w:pPr>
      <w:r>
        <w:t xml:space="preserve">Enforce multi-factor authentication (MFA) on all remote-access and administrative accounts.</w:t>
      </w:r>
    </w:p>
    <w:p>
      <w:pPr>
        <w:pStyle w:val="ListParagraph"/>
        <w:numPr>
          <w:ilvl w:val="0"/>
          <w:numId w:val="2"/>
        </w:numPr>
        <w:spacing w:after="80"/>
      </w:pPr>
      <w:r>
        <w:t xml:space="preserve">Maintain regular, tested, offline backups so systems can be restored without paying a ransom.</w:t>
      </w:r>
    </w:p>
    <w:p>
      <w:pPr>
        <w:pStyle w:val="ListParagraph"/>
        <w:numPr>
          <w:ilvl w:val="0"/>
          <w:numId w:val="2"/>
        </w:numPr>
        <w:spacing w:after="80"/>
      </w:pPr>
      <w:r>
        <w:t xml:space="preserve">Apply the Zero Trust security model and network segmentation to limit how far an attacker can move after an initial compromise.</w:t>
      </w:r>
    </w:p>
    <w:p>
      <w:pPr>
        <w:pStyle w:val="Heading2"/>
        <w:spacing w:after="120" w:before="320"/>
      </w:pPr>
      <w:r>
        <w:t xml:space="preserve">3. Cloud Security Misconfigurations</w:t>
      </w:r>
    </w:p>
    <w:p>
      <w:pPr>
        <w:spacing w:after="120"/>
        <w:jc w:val="both"/>
      </w:pPr>
      <w:r>
        <w:rPr>
          <w:sz w:val="22"/>
          <w:szCs w:val="22"/>
        </w:rPr>
        <w:t xml:space="preserve">As organizations migrate to platforms like AWS, Google Cloud, and Microsoft Azure, simple configuration mistakes — such as publicly accessible storage buckets, overly permissive access policies, hard-coded access keys, or disabled logging — have become one of the leading causes of large-scale data exposure. Because responsibility for securing cloud resources is shared between the provider and the customer, gaps frequently arise when developers prioritize speed over security.</w:t>
      </w:r>
    </w:p>
    <w:p>
      <w:pPr>
        <w:spacing w:after="60" w:before="160"/>
      </w:pPr>
      <w:r>
        <w:rPr>
          <w:b/>
          <w:bCs/>
          <w:color w:val="1F3864"/>
          <w:sz w:val="22"/>
          <w:szCs w:val="22"/>
        </w:rPr>
        <w:t xml:space="preserve">Impact</w:t>
      </w:r>
    </w:p>
    <w:p>
      <w:pPr>
        <w:spacing w:after="120"/>
        <w:jc w:val="both"/>
      </w:pPr>
      <w:r>
        <w:rPr>
          <w:sz w:val="22"/>
          <w:szCs w:val="22"/>
        </w:rPr>
        <w:t xml:space="preserve">For individuals, exposed cloud storage can leak personal details, payment information, and private documents, enabling fraud and identity theft. For organizations, a misconfigured cloud environment can expose source code, credentials, and customer databases, resulting in regulatory penalties, loss of customer trust, and costly incident response, especially when the exposure goes unnoticed for weeks or months.</w:t>
      </w:r>
    </w:p>
    <w:p>
      <w:pPr>
        <w:spacing w:after="60" w:before="160"/>
      </w:pPr>
      <w:r>
        <w:rPr>
          <w:b/>
          <w:bCs/>
          <w:color w:val="1F3864"/>
          <w:sz w:val="22"/>
          <w:szCs w:val="22"/>
        </w:rPr>
        <w:t xml:space="preserve">Real-World Case Study: Football Australia Data Exposure (2024)</w:t>
      </w:r>
    </w:p>
    <w:p>
      <w:pPr>
        <w:spacing w:after="120"/>
        <w:jc w:val="both"/>
      </w:pPr>
      <w:r>
        <w:rPr>
          <w:sz w:val="22"/>
          <w:szCs w:val="22"/>
        </w:rPr>
        <w:t xml:space="preserve">Security researchers discovered that Football Australia's developers had embedded a long-term AWS access key directly in the website's public source code. This credential granted access to 127 cloud storage containers, one of which contained the personal details of football players, along with ticket-purchase records and internal source code. The exposure went undetected for an extended period, illustrating how a single hard-coded key combined with an open storage bucket can cascade into a significant privacy breach.</w:t>
      </w:r>
    </w:p>
    <w:p>
      <w:pPr>
        <w:spacing w:after="60" w:before="160"/>
      </w:pPr>
      <w:r>
        <w:rPr>
          <w:b/>
          <w:bCs/>
          <w:color w:val="1F3864"/>
          <w:sz w:val="22"/>
          <w:szCs w:val="22"/>
        </w:rPr>
        <w:t xml:space="preserve">Preventive Measures</w:t>
      </w:r>
    </w:p>
    <w:p>
      <w:pPr>
        <w:pStyle w:val="ListParagraph"/>
        <w:numPr>
          <w:ilvl w:val="0"/>
          <w:numId w:val="2"/>
        </w:numPr>
        <w:spacing w:after="80"/>
      </w:pPr>
      <w:r>
        <w:t xml:space="preserve">Never embed access keys or secrets in source code; use dedicated secrets-management services instead.</w:t>
      </w:r>
    </w:p>
    <w:p>
      <w:pPr>
        <w:pStyle w:val="ListParagraph"/>
        <w:numPr>
          <w:ilvl w:val="0"/>
          <w:numId w:val="2"/>
        </w:numPr>
        <w:spacing w:after="80"/>
      </w:pPr>
      <w:r>
        <w:t xml:space="preserve">Enable public-access blocks by default on all storage buckets and regularly audit configurations against a secure baseline.</w:t>
      </w:r>
    </w:p>
    <w:p>
      <w:pPr>
        <w:pStyle w:val="ListParagraph"/>
        <w:numPr>
          <w:ilvl w:val="0"/>
          <w:numId w:val="2"/>
        </w:numPr>
        <w:spacing w:after="80"/>
      </w:pPr>
      <w:r>
        <w:t xml:space="preserve">Implement continuous cloud security monitoring (CSPM/CNAPP tools) and logging to detect configuration drift and unauthorized access quickly.</w:t>
      </w:r>
    </w:p>
    <w:p>
      <w:pPr>
        <w:pStyle w:val="Heading2"/>
        <w:spacing w:after="120" w:before="320"/>
      </w:pPr>
      <w:r>
        <w:t xml:space="preserve">4. IoT Vulnerabilities (Smart Devices Being Hacked)</w:t>
      </w:r>
    </w:p>
    <w:p>
      <w:pPr>
        <w:spacing w:after="120"/>
        <w:jc w:val="both"/>
      </w:pPr>
      <w:r>
        <w:rPr>
          <w:sz w:val="22"/>
          <w:szCs w:val="22"/>
        </w:rPr>
        <w:t xml:space="preserve">Internet of Things (IoT) devices — routers, IP cameras, smart TVs, and industrial sensors — are frequently shipped with weak default credentials, outdated firmware, and limited built-in security. Attackers scan the internet for these vulnerable devices and enroll them into large botnets, which are then used for distributed denial-of-service (DDoS) attacks, click fraud, or as "residential proxies" to disguise other malicious activity.</w:t>
      </w:r>
    </w:p>
    <w:p>
      <w:pPr>
        <w:spacing w:after="60" w:before="160"/>
      </w:pPr>
      <w:r>
        <w:rPr>
          <w:b/>
          <w:bCs/>
          <w:color w:val="1F3864"/>
          <w:sz w:val="22"/>
          <w:szCs w:val="22"/>
        </w:rPr>
        <w:t xml:space="preserve">Impact</w:t>
      </w:r>
    </w:p>
    <w:p>
      <w:pPr>
        <w:spacing w:after="120"/>
        <w:jc w:val="both"/>
      </w:pPr>
      <w:r>
        <w:rPr>
          <w:sz w:val="22"/>
          <w:szCs w:val="22"/>
        </w:rPr>
        <w:t xml:space="preserve">Individuals may unknowingly have their home routers, cameras, or smart TVs turned into tools for cybercrime, consuming bandwidth and potentially exposing home networks to further compromise. Organizations that are targeted by IoT-powered DDoS attacks can experience major service outages, while manufacturers face reputational harm and liability when their products are found to be the source of large-scale infections.</w:t>
      </w:r>
    </w:p>
    <w:p>
      <w:pPr>
        <w:spacing w:after="60" w:before="160"/>
      </w:pPr>
      <w:r>
        <w:rPr>
          <w:b/>
          <w:bCs/>
          <w:color w:val="1F3864"/>
          <w:sz w:val="22"/>
          <w:szCs w:val="22"/>
        </w:rPr>
        <w:t xml:space="preserve">Real-World Case Study: BadBox 2.0 and the Aisuru Botnet (2024–2025)</w:t>
      </w:r>
    </w:p>
    <w:p>
      <w:pPr>
        <w:spacing w:after="120"/>
        <w:jc w:val="both"/>
      </w:pPr>
      <w:r>
        <w:rPr>
          <w:sz w:val="22"/>
          <w:szCs w:val="22"/>
        </w:rPr>
        <w:t xml:space="preserve">The BadBox 2.0 campaign pre-infected more than ten million Android-based smart TVs and streaming boxes with malware during manufacturing, meaning consumers received compromised devices straight out of the box, with no phishing link or user error involved. Around the same period, the Aisuru botnet — built from several hundred thousand compromised routers, DVRs, and IP cameras — grew rapidly through 2024 and 2025 to launch some of the largest DDoS attacks ever recorded, at one point exceeding 29 terabits per second. Together, these cases show that IoT risk now extends beyond individual devices to the manufacturing supply chain itself.</w:t>
      </w:r>
    </w:p>
    <w:p>
      <w:pPr>
        <w:spacing w:after="60" w:before="160"/>
      </w:pPr>
      <w:r>
        <w:rPr>
          <w:b/>
          <w:bCs/>
          <w:color w:val="1F3864"/>
          <w:sz w:val="22"/>
          <w:szCs w:val="22"/>
        </w:rPr>
        <w:t xml:space="preserve">Preventive Measures</w:t>
      </w:r>
    </w:p>
    <w:p>
      <w:pPr>
        <w:pStyle w:val="ListParagraph"/>
        <w:numPr>
          <w:ilvl w:val="0"/>
          <w:numId w:val="2"/>
        </w:numPr>
        <w:spacing w:after="80"/>
      </w:pPr>
      <w:r>
        <w:t xml:space="preserve">Change default usernames and passwords on all IoT devices immediately after setup.</w:t>
      </w:r>
    </w:p>
    <w:p>
      <w:pPr>
        <w:pStyle w:val="ListParagraph"/>
        <w:numPr>
          <w:ilvl w:val="0"/>
          <w:numId w:val="2"/>
        </w:numPr>
        <w:spacing w:after="80"/>
      </w:pPr>
      <w:r>
        <w:t xml:space="preserve">Keep device firmware updated and isolate IoT devices on a separate network segment from critical systems.</w:t>
      </w:r>
    </w:p>
    <w:p>
      <w:pPr>
        <w:pStyle w:val="ListParagraph"/>
        <w:numPr>
          <w:ilvl w:val="0"/>
          <w:numId w:val="2"/>
        </w:numPr>
        <w:spacing w:after="80"/>
      </w:pPr>
      <w:r>
        <w:t xml:space="preserve">Purchase devices from manufacturers with a track record of security patching, and disable unused remote-access features.</w:t>
      </w:r>
    </w:p>
    <w:p>
      <w:pPr>
        <w:pStyle w:val="Heading2"/>
        <w:spacing w:after="120" w:before="320"/>
      </w:pPr>
      <w:r>
        <w:t xml:space="preserve">5. Zero-Day Exploits (Unpatched Vulnerabilities)</w:t>
      </w:r>
    </w:p>
    <w:p>
      <w:pPr>
        <w:spacing w:after="120"/>
        <w:jc w:val="both"/>
      </w:pPr>
      <w:r>
        <w:rPr>
          <w:sz w:val="22"/>
          <w:szCs w:val="22"/>
        </w:rPr>
        <w:t xml:space="preserve">A zero-day vulnerability is a software flaw that is unknown to the vendor and therefore has no available patch at the time it is exploited. Because defenders have "zero days" of warning, these attacks can bypass traditional security controls and, when used against widely deployed enterprise software, can compromise thousands of organizations before a fix is even released.</w:t>
      </w:r>
    </w:p>
    <w:p>
      <w:pPr>
        <w:spacing w:after="60" w:before="160"/>
      </w:pPr>
      <w:r>
        <w:rPr>
          <w:b/>
          <w:bCs/>
          <w:color w:val="1F3864"/>
          <w:sz w:val="22"/>
          <w:szCs w:val="22"/>
        </w:rPr>
        <w:t xml:space="preserve">Impact</w:t>
      </w:r>
    </w:p>
    <w:p>
      <w:pPr>
        <w:spacing w:after="120"/>
        <w:jc w:val="both"/>
      </w:pPr>
      <w:r>
        <w:rPr>
          <w:sz w:val="22"/>
          <w:szCs w:val="22"/>
        </w:rPr>
        <w:t xml:space="preserve">Individuals whose personal data is held by an affected organization face downstream identity theft and fraud once stolen records surface on criminal marketplaces. Organizations face large-scale data exfiltration, regulatory investigations, class-action lawsuits, and the significant cost of emergency patching and forensic investigation across their entire environment.</w:t>
      </w:r>
    </w:p>
    <w:p>
      <w:pPr>
        <w:spacing w:after="60" w:before="160"/>
      </w:pPr>
      <w:r>
        <w:rPr>
          <w:b/>
          <w:bCs/>
          <w:color w:val="1F3864"/>
          <w:sz w:val="22"/>
          <w:szCs w:val="22"/>
        </w:rPr>
        <w:t xml:space="preserve">Real-World Case Study: The MOVEit Transfer Breach (2023–2024)</w:t>
      </w:r>
    </w:p>
    <w:p>
      <w:pPr>
        <w:spacing w:after="120"/>
        <w:jc w:val="both"/>
      </w:pPr>
      <w:r>
        <w:rPr>
          <w:sz w:val="22"/>
          <w:szCs w:val="22"/>
        </w:rPr>
        <w:t xml:space="preserve">The Cl0p ransomware group discovered and exploited a previously unknown SQL-injection vulnerability (CVE-2023-34362) in Progress Software's MOVEit Transfer file-transfer platform. Beginning over a holiday weekend, attackers used an automated web shell to exfiltrate data from thousands of organizations — including government agencies, universities, airlines, and Fortune 500 companies — before a patch was released. The breach ultimately affected more than 2,700 organizations and exposed the data of over 90 million individuals, and its fallout, including litigation and regulatory scrutiny, continued well into 2024, making it one of the most consequential zero-day events of the decade.</w:t>
      </w:r>
    </w:p>
    <w:p>
      <w:pPr>
        <w:spacing w:after="60" w:before="160"/>
      </w:pPr>
      <w:r>
        <w:rPr>
          <w:b/>
          <w:bCs/>
          <w:color w:val="1F3864"/>
          <w:sz w:val="22"/>
          <w:szCs w:val="22"/>
        </w:rPr>
        <w:t xml:space="preserve">Preventive Measures</w:t>
      </w:r>
    </w:p>
    <w:p>
      <w:pPr>
        <w:pStyle w:val="ListParagraph"/>
        <w:numPr>
          <w:ilvl w:val="0"/>
          <w:numId w:val="2"/>
        </w:numPr>
        <w:spacing w:after="80"/>
      </w:pPr>
      <w:r>
        <w:t xml:space="preserve">Adopt a rigorous patch-management program with expedited processes for emergency, out-of-cycle updates.</w:t>
      </w:r>
    </w:p>
    <w:p>
      <w:pPr>
        <w:pStyle w:val="ListParagraph"/>
        <w:numPr>
          <w:ilvl w:val="0"/>
          <w:numId w:val="2"/>
        </w:numPr>
        <w:spacing w:after="80"/>
      </w:pPr>
      <w:r>
        <w:t xml:space="preserve">Deploy intrusion detection/prevention systems (IDS/IPS) and web application firewalls to catch anomalous exploitation attempts.</w:t>
      </w:r>
    </w:p>
    <w:p>
      <w:pPr>
        <w:pStyle w:val="ListParagraph"/>
        <w:numPr>
          <w:ilvl w:val="0"/>
          <w:numId w:val="2"/>
        </w:numPr>
        <w:spacing w:after="80"/>
      </w:pPr>
      <w:r>
        <w:t xml:space="preserve">Minimize the internet-facing attack surface and use network segmentation so that a single compromised application cannot expose the entire environment.</w:t>
      </w:r>
    </w:p>
    <w:p>
      <w:pPr>
        <w:pStyle w:val="Heading1"/>
      </w:pPr>
      <w:r>
        <w:t xml:space="preserve">3. Conclusion &amp; Future Scope</w:t>
      </w:r>
    </w:p>
    <w:p>
      <w:pPr>
        <w:spacing w:after="120"/>
        <w:jc w:val="both"/>
      </w:pPr>
      <w:r>
        <w:rPr>
          <w:sz w:val="22"/>
          <w:szCs w:val="22"/>
        </w:rPr>
        <w:t xml:space="preserve">The threat landscape reviewed in this report — AI-powered phishing, ransomware-as-a-service, cloud misconfigurations, IoT vulnerabilities, and zero-day exploits — illustrates that modern cyberattacks are no longer isolated incidents but well-organized, commercially driven operations capable of affecting millions of people in a single campaign. The common thread across nearly every case study is that a foundational security control was missing or misconfigured: absent multi-factor authentication, a hard-coded credential, a default password, or an unpatched application. This underscores that proactive cybersecurity — strong authentication, disciplined patch management, employee awareness, and continuous monitoring — is far more effective and less costly than reacting after a breach has occurred.</w:t>
      </w:r>
    </w:p>
    <w:p>
      <w:pPr>
        <w:spacing w:after="120"/>
        <w:jc w:val="both"/>
      </w:pPr>
      <w:r>
        <w:rPr>
          <w:sz w:val="22"/>
          <w:szCs w:val="22"/>
        </w:rPr>
        <w:t xml:space="preserve">Looking ahead, the threat landscape will continue to evolve alongside technology itself. Generative AI is expected to make social engineering even more convincing, while the growing number of connected IoT and cloud-based systems will keep expanding the attack surface. Cybersecurity professionals must therefore commit to continuous learning, staying current with emerging attack techniques, threat intelligence, and defensive frameworks such as Zero Trust. For organizations and individuals alike, resilience will depend not on eliminating risk entirely, but on building the awareness, controls, and response capability needed to detect and contain threats before they cause lasting harm.</w:t>
      </w:r>
    </w:p>
    <w:p>
      <w:pPr>
        <w:pStyle w:val="Heading1"/>
      </w:pPr>
      <w:r>
        <w:t xml:space="preserve">4. References</w:t>
      </w:r>
    </w:p>
    <w:p>
      <w:pPr>
        <w:spacing w:after="100"/>
      </w:pPr>
      <w:r>
        <w:rPr>
          <w:sz w:val="21"/>
          <w:szCs w:val="21"/>
        </w:rPr>
        <w:t xml:space="preserve">CISA – Cybersecurity &amp; Infrastructure Security Agency Alerts — </w:t>
      </w:r>
      <w:hyperlink w:history="1" r:id="rId9hlvgy5p4ng2a7anmdyr_">
        <w:r>
          <w:rPr>
            <w:color w:val="2E74B5"/>
            <w:sz w:val="21"/>
            <w:szCs w:val="21"/>
            <w:u w:val="single"/>
          </w:rPr>
          <w:t xml:space="preserve">https://www.cisa.gov</w:t>
        </w:r>
      </w:hyperlink>
    </w:p>
    <w:p>
      <w:pPr>
        <w:spacing w:after="100"/>
      </w:pPr>
      <w:r>
        <w:rPr>
          <w:sz w:val="21"/>
          <w:szCs w:val="21"/>
        </w:rPr>
        <w:t xml:space="preserve">CISA Advisory on CL0P Ransomware &amp; MOVEit Exploitation (CVE-2023-34362) — </w:t>
      </w:r>
      <w:hyperlink w:history="1" r:id="rId2dhx0mroh_o9kxlaaj0kc">
        <w:r>
          <w:rPr>
            <w:color w:val="2E74B5"/>
            <w:sz w:val="21"/>
            <w:szCs w:val="21"/>
            <w:u w:val="single"/>
          </w:rPr>
          <w:t xml:space="preserve">https://www.cisa.gov/news-events/cybersecurity-advisories/aa23-158a</w:t>
        </w:r>
      </w:hyperlink>
    </w:p>
    <w:p>
      <w:pPr>
        <w:spacing w:after="100"/>
      </w:pPr>
      <w:r>
        <w:rPr>
          <w:sz w:val="21"/>
          <w:szCs w:val="21"/>
        </w:rPr>
        <w:t xml:space="preserve">IBM Security – Change Healthcare $22M Ransomware Payment — </w:t>
      </w:r>
      <w:hyperlink w:history="1" r:id="rId9jcn9t3-tecfybihnp4_y">
        <w:r>
          <w:rPr>
            <w:color w:val="2E74B5"/>
            <w:sz w:val="21"/>
            <w:szCs w:val="21"/>
            <w:u w:val="single"/>
          </w:rPr>
          <w:t xml:space="preserve">https://www.ibm.com/think/news/change-healthcare-22-million-ransomware-payment</w:t>
        </w:r>
      </w:hyperlink>
    </w:p>
    <w:p>
      <w:pPr>
        <w:spacing w:after="100"/>
      </w:pPr>
      <w:r>
        <w:rPr>
          <w:sz w:val="21"/>
          <w:szCs w:val="21"/>
        </w:rPr>
        <w:t xml:space="preserve">HIPAA Journal – Change Healthcare Cyberattack Coverage — </w:t>
      </w:r>
      <w:hyperlink w:history="1" r:id="rIdft0b6a7pglttn4b7t-udp">
        <w:r>
          <w:rPr>
            <w:color w:val="2E74B5"/>
            <w:sz w:val="21"/>
            <w:szCs w:val="21"/>
            <w:u w:val="single"/>
          </w:rPr>
          <w:t xml:space="preserve">https://www.hipaajournal.com/change-healthcare-responding-to-cyberattack/</w:t>
        </w:r>
      </w:hyperlink>
    </w:p>
    <w:p>
      <w:pPr>
        <w:spacing w:after="100"/>
      </w:pPr>
      <w:r>
        <w:rPr>
          <w:sz w:val="21"/>
          <w:szCs w:val="21"/>
        </w:rPr>
        <w:t xml:space="preserve">Cloud Security Alliance – Football Australia 2024 Misconfiguration Case Study — </w:t>
      </w:r>
      <w:hyperlink w:history="1" r:id="rIdv5xgsmfbqszcgkeof4dec">
        <w:r>
          <w:rPr>
            <w:color w:val="2E74B5"/>
            <w:sz w:val="21"/>
            <w:szCs w:val="21"/>
            <w:u w:val="single"/>
          </w:rPr>
          <w:t xml:space="preserve">https://cloudsecurityalliance.org/blog/2025/06/09/the-2024-football-australia-data-breach-a-case-of-misconfiguration-and-inadequate-change-control</w:t>
        </w:r>
      </w:hyperlink>
    </w:p>
    <w:p>
      <w:pPr>
        <w:spacing w:after="100"/>
      </w:pPr>
      <w:r>
        <w:rPr>
          <w:sz w:val="21"/>
          <w:szCs w:val="21"/>
        </w:rPr>
        <w:t xml:space="preserve">Mandiant / Google Cloud – MOVEit Transfer Zero-Day Analysis — </w:t>
      </w:r>
      <w:hyperlink w:history="1" r:id="rIdmoaa7zzmlkaqt0i97cn5o">
        <w:r>
          <w:rPr>
            <w:color w:val="2E74B5"/>
            <w:sz w:val="21"/>
            <w:szCs w:val="21"/>
            <w:u w:val="single"/>
          </w:rPr>
          <w:t xml:space="preserve">https://cloud.google.com/blog/topics/threat-intelligence/zero-day-moveit-data-theft</w:t>
        </w:r>
      </w:hyperlink>
    </w:p>
    <w:p>
      <w:pPr>
        <w:spacing w:after="100"/>
      </w:pPr>
      <w:r>
        <w:rPr>
          <w:sz w:val="21"/>
          <w:szCs w:val="21"/>
        </w:rPr>
        <w:t xml:space="preserve">Adaptive Security – Arup Deepfake Phishing Case Study — </w:t>
      </w:r>
      <w:hyperlink w:history="1" r:id="rIdw6ie_gpdjghv6cfjgkar-">
        <w:r>
          <w:rPr>
            <w:color w:val="2E74B5"/>
            <w:sz w:val="21"/>
            <w:szCs w:val="21"/>
            <w:u w:val="single"/>
          </w:rPr>
          <w:t xml:space="preserve">https://www.adaptivesecurity.com/blog/ai-deepfake-phishing</w:t>
        </w:r>
      </w:hyperlink>
    </w:p>
    <w:p>
      <w:pPr>
        <w:spacing w:after="100"/>
      </w:pPr>
      <w:r>
        <w:rPr>
          <w:sz w:val="21"/>
          <w:szCs w:val="21"/>
        </w:rPr>
        <w:t xml:space="preserve">Asimily – IoT Botnet Threats: BadBox 2.0 and Aisuru — </w:t>
      </w:r>
      <w:hyperlink w:history="1" r:id="rIdwxcc9bruvi3onbzp1hhis">
        <w:r>
          <w:rPr>
            <w:color w:val="2E74B5"/>
            <w:sz w:val="21"/>
            <w:szCs w:val="21"/>
            <w:u w:val="single"/>
          </w:rPr>
          <w:t xml:space="preserve">https://asimily.com/blog/the-top-internet-of-things-iot-cybersecurity-breaches-in-2026/</w:t>
        </w:r>
      </w:hyperlink>
    </w:p>
    <w:p>
      <w:pPr>
        <w:spacing w:after="100"/>
      </w:pPr>
      <w:r>
        <w:rPr>
          <w:sz w:val="21"/>
          <w:szCs w:val="21"/>
        </w:rPr>
        <w:t xml:space="preserve">OWASP Top 10 – Web Application Security Risks — </w:t>
      </w:r>
      <w:hyperlink w:history="1" r:id="rId8tlkom0peaq99pxbfqu-0">
        <w:r>
          <w:rPr>
            <w:color w:val="2E74B5"/>
            <w:sz w:val="21"/>
            <w:szCs w:val="21"/>
            <w:u w:val="single"/>
          </w:rPr>
          <w:t xml:space="preserve">https://owasp.org/www-project-top-ten/</w:t>
        </w:r>
      </w:hyperlink>
    </w:p>
    <w:p>
      <w:pPr>
        <w:spacing w:after="100"/>
      </w:pPr>
      <w:r>
        <w:rPr>
          <w:sz w:val="21"/>
          <w:szCs w:val="21"/>
        </w:rPr>
        <w:t xml:space="preserve">KrebsOnSecurity – Cybercrime News &amp; Analysis — </w:t>
      </w:r>
      <w:hyperlink w:history="1" r:id="rIdcrs5vfs3q3xmy4h5r78ih">
        <w:r>
          <w:rPr>
            <w:color w:val="2E74B5"/>
            <w:sz w:val="21"/>
            <w:szCs w:val="21"/>
            <w:u w:val="single"/>
          </w:rPr>
          <w:t xml:space="preserve">https://krebsonsecurity.com</w:t>
        </w:r>
      </w:hyperlink>
    </w:p>
    <w:sectPr>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4B5" w:sz="8" w:space="4"/>
      </w:pBdr>
      <w:spacing w:after="200" w:before="360"/>
    </w:pPr>
    <w:rPr>
      <w:rFonts w:ascii="Calibri" w:cs="Calibri" w:eastAsia="Calibri" w:hAnsi="Calibri"/>
      <w:b/>
      <w:bCs/>
      <w:color w:val="1F3864"/>
      <w:sz w:val="30"/>
      <w:szCs w:val="30"/>
    </w:rPr>
  </w:style>
  <w:style w:type="paragraph" w:styleId="Heading2">
    <w:name w:val="Heading 2"/>
    <w:basedOn w:val="Normal"/>
    <w:next w:val="Normal"/>
    <w:qFormat/>
    <w:rPr>
      <w:rFonts w:ascii="Calibri" w:cs="Calibri" w:eastAsia="Calibri" w:hAnsi="Calibri"/>
      <w:b/>
      <w:bCs/>
      <w:color w:val="2E74B5"/>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9hlvgy5p4ng2a7anmdyr_" Type="http://schemas.openxmlformats.org/officeDocument/2006/relationships/hyperlink" Target="https://www.cisa.gov" TargetMode="External"/><Relationship Id="rId2dhx0mroh_o9kxlaaj0kc" Type="http://schemas.openxmlformats.org/officeDocument/2006/relationships/hyperlink" Target="https://www.cisa.gov/news-events/cybersecurity-advisories/aa23-158a" TargetMode="External"/><Relationship Id="rId9jcn9t3-tecfybihnp4_y" Type="http://schemas.openxmlformats.org/officeDocument/2006/relationships/hyperlink" Target="https://www.ibm.com/think/news/change-healthcare-22-million-ransomware-payment" TargetMode="External"/><Relationship Id="rIdft0b6a7pglttn4b7t-udp" Type="http://schemas.openxmlformats.org/officeDocument/2006/relationships/hyperlink" Target="https://www.hipaajournal.com/change-healthcare-responding-to-cyberattack/" TargetMode="External"/><Relationship Id="rIdv5xgsmfbqszcgkeof4dec" Type="http://schemas.openxmlformats.org/officeDocument/2006/relationships/hyperlink" Target="https://cloudsecurityalliance.org/blog/2025/06/09/the-2024-football-australia-data-breach-a-case-of-misconfiguration-and-inadequate-change-control" TargetMode="External"/><Relationship Id="rIdmoaa7zzmlkaqt0i97cn5o" Type="http://schemas.openxmlformats.org/officeDocument/2006/relationships/hyperlink" Target="https://cloud.google.com/blog/topics/threat-intelligence/zero-day-moveit-data-theft" TargetMode="External"/><Relationship Id="rIdw6ie_gpdjghv6cfjgkar-" Type="http://schemas.openxmlformats.org/officeDocument/2006/relationships/hyperlink" Target="https://www.adaptivesecurity.com/blog/ai-deepfake-phishing" TargetMode="External"/><Relationship Id="rIdwxcc9bruvi3onbzp1hhis" Type="http://schemas.openxmlformats.org/officeDocument/2006/relationships/hyperlink" Target="https://asimily.com/blog/the-top-internet-of-things-iot-cybersecurity-breaches-in-2026/" TargetMode="External"/><Relationship Id="rId8tlkom0peaq99pxbfqu-0" Type="http://schemas.openxmlformats.org/officeDocument/2006/relationships/hyperlink" Target="https://owasp.org/www-project-top-ten/" TargetMode="External"/><Relationship Id="rIdcrs5vfs3q3xmy4h5r78ih" Type="http://schemas.openxmlformats.org/officeDocument/2006/relationships/hyperlink" Target="https://krebsonsecurity.com" TargetMode="External"/><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2026-07-10T13:53:43.690Z</dcterms:created>
  <dcterms:modified xsi:type="dcterms:W3CDTF">2026-07-10T13:53:43.691Z</dcterms:modified>
</cp:coreProperties>
</file>

<file path=docProps/custom.xml><?xml version="1.0" encoding="utf-8"?>
<Properties xmlns="http://schemas.openxmlformats.org/officeDocument/2006/custom-properties" xmlns:vt="http://schemas.openxmlformats.org/officeDocument/2006/docPropsVTypes"/>
</file>