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Mixed-Mode MPI+OpenMP Programming in HPC: Recent Trends and Innovations</w:t>
      </w:r>
    </w:p>
    <w:p>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By Group 2 [13-24]</w:t>
      </w:r>
    </w:p>
    <w:p>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By Group 2 [13-24]</w:t>
      </w:r>
    </w:p>
    <w:p>
      <w:pPr>
        <w:jc w:val="center"/>
      </w:pPr>
    </w:p>
    <w:tbl>
      <w:tblPr>
        <w:tblStyle w:val="a"/>
        <w:tblW w:w="982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74"/>
        <w:gridCol w:w="3274"/>
        <w:gridCol w:w="3275"/>
      </w:tblGrid>
      <w:tr>
        <w:trPr>
          <w:trHeight w:val="349"/>
        </w:trPr>
        <w:tc>
          <w:tcPr>
            <w:tcW w:w="3274" w:type="dxa"/>
          </w:tcPr>
          <w:p>
            <w:pPr>
              <w:jc w:val="center"/>
              <w:rPr>
                <w:rFonts w:ascii="Times New Roman" w:eastAsia="Times New Roman" w:hAnsi="Times New Roman" w:cs="Times New Roman"/>
                <w:b/>
                <w:bCs/>
              </w:rPr>
            </w:pPr>
            <w:r>
              <w:rPr>
                <w:rFonts w:ascii="Times New Roman" w:eastAsia="Times New Roman" w:hAnsi="Times New Roman" w:cs="Times New Roman"/>
                <w:b/>
                <w:bCs/>
              </w:rPr>
              <w:t xml:space="preserve">Names</w:t>
            </w:r>
          </w:p>
        </w:tc>
        <w:tc>
          <w:tcPr>
            <w:tcW w:w="3274" w:type="dxa"/>
          </w:tcPr>
          <w:p>
            <w:pPr>
              <w:jc w:val="center"/>
              <w:rPr>
                <w:rFonts w:ascii="Times New Roman" w:eastAsia="Times New Roman" w:hAnsi="Times New Roman" w:cs="Times New Roman"/>
                <w:b/>
                <w:bCs/>
              </w:rPr>
            </w:pPr>
            <w:r>
              <w:rPr>
                <w:rFonts w:ascii="Times New Roman" w:eastAsia="Times New Roman" w:hAnsi="Times New Roman" w:cs="Times New Roman"/>
                <w:b/>
                <w:bCs/>
              </w:rPr>
              <w:t xml:space="preserve">Roll No.</w:t>
            </w:r>
          </w:p>
        </w:tc>
        <w:tc>
          <w:tcPr>
            <w:tcW w:w="3275" w:type="dxa"/>
          </w:tcPr>
          <w:p>
            <w:pPr>
              <w:jc w:val="center"/>
              <w:rPr>
                <w:rFonts w:ascii="Times New Roman" w:eastAsia="Times New Roman" w:hAnsi="Times New Roman" w:cs="Times New Roman"/>
                <w:b/>
                <w:bCs/>
              </w:rPr>
            </w:pPr>
            <w:r>
              <w:rPr>
                <w:rFonts w:ascii="Times New Roman" w:eastAsia="Times New Roman" w:hAnsi="Times New Roman" w:cs="Times New Roman"/>
                <w:b/>
                <w:bCs/>
              </w:rPr>
              <w:t xml:space="preserve">Signature</w:t>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Raunak SIngh</w:t>
            </w:r>
          </w:p>
        </w:tc>
        <w:tc>
          <w:tcPr>
            <w:tcW w:w="3274" w:type="dxa"/>
          </w:tcPr>
          <w:p>
            <w:pPr>
              <w:jc w:val="center"/>
              <w:rPr>
                <w:rFonts w:ascii="Times New Roman" w:hAnsi="Times New Roman"/>
                <w:b w:val="0"/>
                <w:sz w:val="24"/>
              </w:rPr>
            </w:pPr>
            <w:r>
              <w:rPr>
                <w:rFonts w:ascii="Times New Roman" w:hAnsi="Times New Roman"/>
                <w:b w:val="0"/>
                <w:sz w:val="24"/>
              </w:rPr>
              <w:t xml:space="preserve">13</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Rishit Singh</w:t>
            </w:r>
          </w:p>
        </w:tc>
        <w:tc>
          <w:tcPr>
            <w:tcW w:w="3274" w:type="dxa"/>
          </w:tcPr>
          <w:p>
            <w:pPr>
              <w:jc w:val="center"/>
              <w:rPr>
                <w:rFonts w:ascii="Times New Roman" w:hAnsi="Times New Roman"/>
                <w:b w:val="0"/>
                <w:sz w:val="24"/>
              </w:rPr>
            </w:pPr>
            <w:r>
              <w:rPr>
                <w:rFonts w:ascii="Times New Roman" w:hAnsi="Times New Roman"/>
                <w:b w:val="0"/>
                <w:sz w:val="24"/>
              </w:rPr>
              <w:t xml:space="preserve">14</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Rudrapratap Singh</w:t>
            </w:r>
          </w:p>
        </w:tc>
        <w:tc>
          <w:tcPr>
            <w:tcW w:w="3274" w:type="dxa"/>
          </w:tcPr>
          <w:p>
            <w:pPr>
              <w:jc w:val="center"/>
              <w:rPr>
                <w:rFonts w:ascii="Times New Roman" w:hAnsi="Times New Roman"/>
                <w:b w:val="0"/>
                <w:sz w:val="24"/>
              </w:rPr>
            </w:pPr>
            <w:r>
              <w:rPr>
                <w:rFonts w:ascii="Times New Roman" w:hAnsi="Times New Roman"/>
                <w:b w:val="0"/>
                <w:sz w:val="24"/>
              </w:rPr>
              <w:t xml:space="preserve">15</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Sakshi Singh</w:t>
            </w:r>
          </w:p>
        </w:tc>
        <w:tc>
          <w:tcPr>
            <w:tcW w:w="3274" w:type="dxa"/>
          </w:tcPr>
          <w:p>
            <w:pPr>
              <w:jc w:val="center"/>
              <w:rPr>
                <w:rFonts w:ascii="Times New Roman" w:hAnsi="Times New Roman"/>
                <w:b w:val="0"/>
                <w:sz w:val="24"/>
              </w:rPr>
            </w:pPr>
            <w:r>
              <w:rPr>
                <w:rFonts w:ascii="Times New Roman" w:hAnsi="Times New Roman"/>
                <w:b w:val="0"/>
                <w:sz w:val="24"/>
              </w:rPr>
              <w:t xml:space="preserve">16</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Udaypratap Singh</w:t>
            </w:r>
          </w:p>
        </w:tc>
        <w:tc>
          <w:tcPr>
            <w:tcW w:w="3274" w:type="dxa"/>
          </w:tcPr>
          <w:p>
            <w:pPr>
              <w:jc w:val="center"/>
              <w:rPr>
                <w:rFonts w:ascii="Times New Roman" w:hAnsi="Times New Roman"/>
                <w:b w:val="0"/>
                <w:sz w:val="24"/>
              </w:rPr>
            </w:pPr>
            <w:r>
              <w:rPr>
                <w:rFonts w:ascii="Times New Roman" w:hAnsi="Times New Roman"/>
                <w:b w:val="0"/>
                <w:sz w:val="24"/>
              </w:rPr>
              <w:t xml:space="preserve">17</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Vicky Singh</w:t>
            </w:r>
          </w:p>
        </w:tc>
        <w:tc>
          <w:tcPr>
            <w:tcW w:w="3274" w:type="dxa"/>
          </w:tcPr>
          <w:p>
            <w:pPr>
              <w:jc w:val="center"/>
              <w:rPr>
                <w:rFonts w:ascii="Times New Roman" w:hAnsi="Times New Roman"/>
                <w:b w:val="0"/>
                <w:sz w:val="24"/>
              </w:rPr>
            </w:pPr>
            <w:r>
              <w:rPr>
                <w:rFonts w:ascii="Times New Roman" w:hAnsi="Times New Roman"/>
                <w:b w:val="0"/>
                <w:sz w:val="24"/>
              </w:rPr>
              <w:t xml:space="preserve">18</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Vishesh Singh</w:t>
            </w:r>
          </w:p>
        </w:tc>
        <w:tc>
          <w:tcPr>
            <w:tcW w:w="3274" w:type="dxa"/>
          </w:tcPr>
          <w:p>
            <w:pPr>
              <w:jc w:val="center"/>
              <w:rPr>
                <w:rFonts w:ascii="Times New Roman" w:hAnsi="Times New Roman"/>
                <w:b w:val="0"/>
                <w:sz w:val="24"/>
              </w:rPr>
            </w:pPr>
            <w:r>
              <w:rPr>
                <w:rFonts w:ascii="Times New Roman" w:hAnsi="Times New Roman"/>
                <w:b w:val="0"/>
                <w:sz w:val="24"/>
              </w:rPr>
              <w:t xml:space="preserve">19</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Divyajoyt Sinha</w:t>
            </w:r>
          </w:p>
        </w:tc>
        <w:tc>
          <w:tcPr>
            <w:tcW w:w="3274" w:type="dxa"/>
          </w:tcPr>
          <w:p>
            <w:pPr>
              <w:jc w:val="center"/>
              <w:rPr>
                <w:rFonts w:ascii="Times New Roman" w:hAnsi="Times New Roman"/>
                <w:b w:val="0"/>
                <w:sz w:val="24"/>
              </w:rPr>
            </w:pPr>
            <w:r>
              <w:rPr>
                <w:rFonts w:ascii="Times New Roman" w:hAnsi="Times New Roman"/>
                <w:b w:val="0"/>
                <w:sz w:val="24"/>
              </w:rPr>
              <w:t xml:space="preserve">20</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Deepesh Sonar</w:t>
            </w:r>
          </w:p>
        </w:tc>
        <w:tc>
          <w:tcPr>
            <w:tcW w:w="3274" w:type="dxa"/>
          </w:tcPr>
          <w:p>
            <w:pPr>
              <w:jc w:val="center"/>
              <w:rPr>
                <w:rFonts w:ascii="Times New Roman" w:hAnsi="Times New Roman"/>
                <w:b w:val="0"/>
                <w:sz w:val="24"/>
              </w:rPr>
            </w:pPr>
            <w:r>
              <w:rPr>
                <w:rFonts w:ascii="Times New Roman" w:hAnsi="Times New Roman"/>
                <w:b w:val="0"/>
                <w:sz w:val="24"/>
              </w:rPr>
              <w:t xml:space="preserve">21</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Vedant Sud</w:t>
            </w:r>
          </w:p>
        </w:tc>
        <w:tc>
          <w:tcPr>
            <w:tcW w:w="3274" w:type="dxa"/>
          </w:tcPr>
          <w:p>
            <w:pPr>
              <w:jc w:val="center"/>
              <w:rPr>
                <w:rFonts w:ascii="Times New Roman" w:hAnsi="Times New Roman"/>
                <w:b w:val="0"/>
                <w:sz w:val="24"/>
              </w:rPr>
            </w:pPr>
            <w:r>
              <w:rPr>
                <w:rFonts w:ascii="Times New Roman" w:hAnsi="Times New Roman"/>
                <w:b w:val="0"/>
                <w:sz w:val="24"/>
              </w:rPr>
              <w:t xml:space="preserve">23</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Dhwani Tandon</w:t>
            </w:r>
          </w:p>
        </w:tc>
        <w:tc>
          <w:tcPr>
            <w:tcW w:w="3274" w:type="dxa"/>
          </w:tcPr>
          <w:p>
            <w:pPr>
              <w:jc w:val="center"/>
              <w:rPr>
                <w:rFonts w:ascii="Times New Roman" w:hAnsi="Times New Roman"/>
                <w:b w:val="0"/>
                <w:sz w:val="24"/>
              </w:rPr>
            </w:pPr>
            <w:r>
              <w:rPr>
                <w:rFonts w:ascii="Times New Roman" w:hAnsi="Times New Roman"/>
                <w:b w:val="0"/>
                <w:sz w:val="24"/>
              </w:rPr>
              <w:t xml:space="preserve">24</w:t>
            </w:r>
          </w:p>
        </w:tc>
        <w:tc>
          <w:tcPr>
            <w:tcW w:w="3275" w:type="dxa"/>
          </w:tcPr>
          <w:p>
            <w:pPr>
              <w:jc w:val="center"/>
              <w:rPr>
                <w:rFonts w:ascii="Times New Roman" w:hAnsi="Times New Roman"/>
                <w:b w:val="0"/>
                <w:sz w:val="24"/>
              </w:rPr>
            </w:pPr>
            <w:r>
              <w:rPr>
                <w:rFonts w:ascii="Times New Roman" w:hAnsi="Times New Roman"/>
                <w:b w:val="0"/>
                <w:sz w:val="24"/>
              </w:rPr>
              <w:t xml:space="preserve"/>
            </w:r>
          </w:p>
        </w:tc>
      </w:tr>
    </w:tbl>
    <w:p>
      <w:pPr>
        <w:jc w:val="center"/>
      </w:pP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 Innovative Examination Report</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Submitted for the Subject of</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Microprossesor</w:t>
      </w:r>
    </w:p>
    <w:p>
      <w:pPr>
        <w:jc w:val="center"/>
      </w:pP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Under the Guidance of</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Ms. Tanmayi Nagale</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Assistant Professor</w:t>
      </w:r>
    </w:p>
    <w:p>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A.Y. 2026-27</w:t>
      </w:r>
    </w:p>
    <w:p>
      <w:r>
        <w:br w:type="page"/>
      </w:r>
    </w:p>
    <w:p>
      <w:pPr>
        <w:jc w:val="center"/>
        <w:rPr>
          <w:rFonts w:ascii="Times New Roman" w:eastAsia="Times New Roman" w:hAnsi="Times New Roman" w:cs="Times New Roman"/>
          <w:b/>
          <w:bCs/>
          <w:sz w:val="44"/>
          <w:szCs w:val="44"/>
          <w:u w:val="single"/>
        </w:rPr>
      </w:pPr>
      <w:r>
        <w:rPr>
          <w:rFonts w:ascii="Times New Roman" w:eastAsia="Times New Roman" w:hAnsi="Times New Roman" w:cs="Times New Roman"/>
          <w:b/>
          <w:bCs/>
          <w:sz w:val="44"/>
          <w:szCs w:val="44"/>
          <w:u w:val="single"/>
        </w:rPr>
        <w:t xml:space="preserve">TABLE OF CONTENT</w:t>
      </w:r>
    </w:p>
    <w:tbl>
      <w:tblPr>
        <w:tblStyle w:val="a0"/>
        <w:tblW w:w="8677" w:type="dxa"/>
        <w:jc w:val="center"/>
        <w:tblLayout w:type="fixed"/>
        <w:tblLook w:val="0400" w:firstRow="0" w:lastRow="0" w:firstColumn="0" w:lastColumn="0" w:noHBand="0" w:noVBand="1"/>
      </w:tblPr>
      <w:tblGrid>
        <w:gridCol w:w="2883"/>
        <w:gridCol w:w="2910"/>
        <w:gridCol w:w="2884"/>
      </w:tblGrid>
      <w:tr>
        <w:trPr>
          <w:trHeight w:val="942"/>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SR. NO.</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TITLE</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PAGE NO.</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ABSTRACT</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ACKNOWLEDGEMENT</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INTRODUCTION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THEORETICAL BACKGROUND</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APPLICATION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FUTURE SCOPE</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10</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CONCLUSION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12</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REFERENCES</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14</w:t>
            </w:r>
          </w:p>
        </w:tc>
      </w:tr>
    </w:tbl>
    <w:p>
      <w:r>
        <w:br w:type="page"/>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1. Abstract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report examines recent trends and innovations in mixed-mode MPI+OpenMP programming for high-performance computing (HPC), with particular attention to molecular dynamics applications. The central claim is that hybrid parallelism remains an essential strategy for exploiting contemporary multi-core and multi-socket nodes, yet its benefits are conditional on hardware architecture and application communication patterns. Evidence from the GROMACS performance documentation indicates that modern multiprocessor machines may contain two to four sockets with up to 64 cores, while memory and cache subsystems lag behind core-count growth, accentuating non-uniform memory access (NUMA) effects. Multi-level parallelism, typically combining MPI for inter-node communication and OpenMP for intra-node threading, directly addresses these NUMA and communication bottlenecks, substantiating the continued relevance of the MPI+OpenMP model in the petascale-to-exascale transition.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A principal finding is that hybrid MPI+OpenMP delivers the greatest advantage in highly parallel runs, where communication overhead and load imbalance otherwise curtail scaling. GROMACS documentation reports that “there is a more pronounced benefit of multi-level parallelization in highly parallel runs” and recommends combined MPI/OpenMP with two or four OpenMP threads per MPI process when communication consumes substantial runtime. At the same time, the evidence cautions against universal adoption: on multi-processor Intel Westmere and Sandy Bridge systems, MPI+OpenMP can match or exceed the performance of pure MPI even at modest process counts, whereas on AMD Interlagos it can be considerably slower. This finding implies that the optimal rank-to-thread ratio is not fixed but must be tuned per architecture and workload, reinforcing the need for portable performance engineering.</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Beyond conventional MPI+OpenMP, recent innovations seek to reduce programming complexity and communication inefficiency by integrating partitioned global address space (PGAS) semantics into OpenMP. The DiOMP system, built on the LLVM compiler infrastructure and GASNet-EX, provides a notable example; in evaluations conducted on the Ookami and NERSC Perlmutter systems, DiOMP achieved up to 25% higher bandwidth and 45% lower latency than MPI+OpenMP on microbenchmarks and application kernels. This evidence demonstrates that one-sided communication and PGAS abstractions can yield measurable performance gains while promising a more intuitive programming model, addressing a key criticism of explicit two-sided MPI. The result positions PGAS-based OpenMP as a credible emerging alternative for distributed-memory parallelism, though production readiness remains an active research question.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On the basis of the surveyed evidence, the practical recommendation is to adopt mixed-mode MPI+OpenMP selectively, guided by architecture-specific tuning and informed by runtime measurements. GROMACS's own performance checklist advises that when all communication takes a substantial fraction of runtime, users should attempt combined MPI/OpenMP with two to four OpenMP threads per MPI rank, and it emphasizes the value of auto-detection mechanisms while acknowledging that manual adjustment often yields further gains. Concurrently, HPC centres and application developers should track the maturation of PGAS-inspired OpenMP implementations such as DiOMP, since they offer a plausible pathway to higher productivity and performance without abandoning the familiar OpenMP syntax. Thus, while MPI+OpenMP is unlikely to be displaced in the near term, its effective use depends on deliberate co-design between application, runtime, and hardware innovations.</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Summary of key findings from surveyed research on mixed-mode MPI+OpenMP.</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Aspect</w:t>
            </w:r>
          </w:p>
        </w:tc>
        <w:tc>
          <w:tcPr>
            <w:tcW w:w="3008" w:type="dxa"/>
          </w:tcPr>
          <w:p>
            <w:r>
              <w:rPr>
                <w:rFonts w:ascii="Times New Roman" w:hAnsi="Times New Roman"/>
                <w:b/>
                <w:sz w:val="24"/>
              </w:rPr>
              <w:t xml:space="preserve">Finding</w:t>
            </w:r>
          </w:p>
        </w:tc>
        <w:tc>
          <w:tcPr>
            <w:tcW w:w="3010" w:type="dxa"/>
          </w:tcPr>
          <w:p>
            <w:r>
              <w:rPr>
                <w:rFonts w:ascii="Times New Roman" w:hAnsi="Times New Roman"/>
                <w:b/>
                <w:sz w:val="24"/>
              </w:rPr>
              <w:t xml:space="preserve">Source/Context</w:t>
            </w:r>
          </w:p>
        </w:tc>
      </w:tr>
      <w:tr>
        <w:tc>
          <w:tcPr>
            <w:tcW w:w="3008" w:type="dxa"/>
          </w:tcPr>
          <w:p>
            <w:r>
              <w:rPr>
                <w:rFonts w:ascii="Times New Roman" w:hAnsi="Times New Roman"/>
                <w:b w:val="0"/>
                <w:sz w:val="24"/>
              </w:rPr>
              <w:t xml:space="preserve">Scalability</w:t>
            </w:r>
          </w:p>
        </w:tc>
        <w:tc>
          <w:tcPr>
            <w:tcW w:w="3008" w:type="dxa"/>
          </w:tcPr>
          <w:p>
            <w:r>
              <w:rPr>
                <w:rFonts w:ascii="Times New Roman" w:hAnsi="Times New Roman"/>
                <w:b w:val="0"/>
                <w:sz w:val="24"/>
              </w:rPr>
              <w:t xml:space="preserve">Hybrid MPI+OpenMP yields pronounced benefits in highly parallel runs.</w:t>
            </w:r>
          </w:p>
        </w:tc>
        <w:tc>
          <w:tcPr>
            <w:tcW w:w="3010" w:type="dxa"/>
          </w:tcPr>
          <w:p>
            <w:r>
              <w:rPr>
                <w:rFonts w:ascii="Times New Roman" w:hAnsi="Times New Roman"/>
                <w:b w:val="0"/>
                <w:sz w:val="24"/>
              </w:rPr>
              <w:t xml:space="preserve">GROMACS performance documentation</w:t>
            </w:r>
          </w:p>
        </w:tc>
      </w:tr>
      <w:tr>
        <w:tc>
          <w:tcPr>
            <w:tcW w:w="3008" w:type="dxa"/>
          </w:tcPr>
          <w:p>
            <w:r>
              <w:rPr>
                <w:rFonts w:ascii="Times New Roman" w:hAnsi="Times New Roman"/>
                <w:b w:val="0"/>
                <w:sz w:val="24"/>
              </w:rPr>
              <w:t xml:space="preserve">Architecture sensitivity</w:t>
            </w:r>
          </w:p>
        </w:tc>
        <w:tc>
          <w:tcPr>
            <w:tcW w:w="3008" w:type="dxa"/>
          </w:tcPr>
          <w:p>
            <w:r>
              <w:rPr>
                <w:rFonts w:ascii="Times New Roman" w:hAnsi="Times New Roman"/>
                <w:b w:val="0"/>
                <w:sz w:val="24"/>
              </w:rPr>
              <w:t xml:space="preserve">MPI+OpenMP can outperform pure MPI on Intel multi-processor nodes but lag on AMD Interlagos.</w:t>
            </w:r>
          </w:p>
        </w:tc>
        <w:tc>
          <w:tcPr>
            <w:tcW w:w="3010" w:type="dxa"/>
          </w:tcPr>
          <w:p>
            <w:r>
              <w:rPr>
                <w:rFonts w:ascii="Times New Roman" w:hAnsi="Times New Roman"/>
                <w:b w:val="0"/>
                <w:sz w:val="24"/>
              </w:rPr>
              <w:t xml:space="preserve">GROMACS multi-level parallelization notes</w:t>
            </w:r>
          </w:p>
        </w:tc>
      </w:tr>
      <w:tr>
        <w:tc>
          <w:tcPr>
            <w:tcW w:w="3008" w:type="dxa"/>
          </w:tcPr>
          <w:p>
            <w:r>
              <w:rPr>
                <w:rFonts w:ascii="Times New Roman" w:hAnsi="Times New Roman"/>
                <w:b w:val="0"/>
                <w:sz w:val="24"/>
              </w:rPr>
              <w:t xml:space="preserve">Productivity alternative</w:t>
            </w:r>
          </w:p>
        </w:tc>
        <w:tc>
          <w:tcPr>
            <w:tcW w:w="3008" w:type="dxa"/>
          </w:tcPr>
          <w:p>
            <w:r>
              <w:rPr>
                <w:rFonts w:ascii="Times New Roman" w:hAnsi="Times New Roman"/>
                <w:b w:val="0"/>
                <w:sz w:val="24"/>
              </w:rPr>
              <w:t xml:space="preserve">PGAS-based OpenMP (DiOMP) achieves up to 25% higher bandwidth and 45% lower latency than MPI+OpenMP.</w:t>
            </w:r>
          </w:p>
        </w:tc>
        <w:tc>
          <w:tcPr>
            <w:tcW w:w="3010" w:type="dxa"/>
          </w:tcPr>
          <w:p>
            <w:r>
              <w:rPr>
                <w:rFonts w:ascii="Times New Roman" w:hAnsi="Times New Roman"/>
                <w:b w:val="0"/>
                <w:sz w:val="24"/>
              </w:rPr>
              <w:t xml:space="preserve">DiOMP evaluation on Ookami and Perlmutter</w:t>
            </w:r>
          </w:p>
        </w:tc>
      </w:tr>
      <w:tr>
        <w:tc>
          <w:tcPr>
            <w:tcW w:w="3008" w:type="dxa"/>
          </w:tcPr>
          <w:p>
            <w:r>
              <w:rPr>
                <w:rFonts w:ascii="Times New Roman" w:hAnsi="Times New Roman"/>
                <w:b w:val="0"/>
                <w:sz w:val="24"/>
              </w:rPr>
              <w:t xml:space="preserve">Threading guidance</w:t>
            </w:r>
          </w:p>
        </w:tc>
        <w:tc>
          <w:tcPr>
            <w:tcW w:w="3008" w:type="dxa"/>
          </w:tcPr>
          <w:p>
            <w:r>
              <w:rPr>
                <w:rFonts w:ascii="Times New Roman" w:hAnsi="Times New Roman"/>
                <w:b w:val="0"/>
                <w:sz w:val="24"/>
              </w:rPr>
              <w:t xml:space="preserve">When communication dominates, use 2–4 OpenMP threads per MPI rank.</w:t>
            </w:r>
          </w:p>
        </w:tc>
        <w:tc>
          <w:tcPr>
            <w:tcW w:w="3010" w:type="dxa"/>
          </w:tcPr>
          <w:p>
            <w:r>
              <w:rPr>
                <w:rFonts w:ascii="Times New Roman" w:hAnsi="Times New Roman"/>
                <w:b w:val="0"/>
                <w:sz w:val="24"/>
              </w:rPr>
              <w:t xml:space="preserve">GROMACS performance checklist</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2. Acknowledgement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We sincerely thank the eight team members whose collaborative effort and dedication made this study possible. We are equally grateful to our faculty guide for their invaluable direction and feedback, which shaped the scope and quality of this work.</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We also acknowledge the institution for providing the computational resources and academic environment that enabled this research, and we appreciate the authors and developers of the technical documentation, research papers, and open-source tools that served as essential sources for this report.</w:t>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3. Introduction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transition to exascale-class computing has fundamentally altered the hardware landscape upon which high-performance computing (HPC) applications are deployed. Contemporary multiprocessor nodes commonly contain two to four sockets with core counts as high as 64 per node, while the memory and cache hierarchy have not kept pace with this growth in core count. As the GROMACS performance documentation observes, this imbalance emphasizes non-uniform memory access (NUMA) effects, which can become a performance bottleneck when all cores compete for shared memory and a single network interface. The implication is that programming models must explicitly manage data locality and communication topology, because flat models that treat all cores as equivalent will leave significant performance untapped.</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Mixed-mode MPI+OpenMP programming has emerged as the canonical response to this hardware complexity. The model combines MPI, the dominant multi-node parallelization scheme, with OpenMP, a standardized technique for sharing compute workloads over multiple cores within a node. In this hybrid design, MPI ranks are assigned to distinct nodes or sockets, while OpenMP threads exploit shared memory within each rank. GROMACS documentation describes this as multi-level parallelization and notes that it aims to address NUMA and communication-related issues through efficient intra-node parallelism. However, the same source cautions that combining OpenMP with MPI can introduce additional overhead and that hybrid runs can be faster or considerably slower depending on the architecture and input size, with the benefits becoming more pronounced at high parallelization levels. This nuance motivates continued research into optimal rank-to-thread ratios and affinity control.</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Despite its prevalence, the MPI+X model is not without criticism, and recent innovations seek to improve its programmability and performance. A 2024 study of DiOMP, a PGAS-based distributed OpenMP implementation, describes MPI+X as the de facto standard for distributed-memory parallel programming but emphasizes that its two-sided communication model often produces complex and error-prone code. DiOMP instead integrates partitioned global address space concepts into OpenMP using the LLVM compiler infrastructure and the GASNet-EX communication library, allowing one-sided communication primitives that are more intuitive to program. Evaluations on the Ookami and Perlmutter platforms demonstrated that DiOMP achieved up to 25% higher bandwidth and up to 45% lower latency than MPI+OpenMP, suggesting that hybrid models can evolve beyond explicit two-sided message passing. This line of work represents an important trend toward raising programmer productivity without sacrificing scalability.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effective use of mixed-mode programming also demands attention to lower-level performance factors, including SIMD utilization, thread affinity, and GPU offload. GROMACS documentation reports that OpenMP scaling is efficient up to roughly 12–24 threads on Intel and 6–8 threads on AMD CPUs, and that once the strong-scaling limit of MPI is reached, using OpenMP to spread the work of a rank over more than one core is needed to continue improving absolute performance. Furthermore, thread affinity (pinning) is critical because default thread migration can degrade performance dramatically. Modern HPC nodes increasingly include GPUs, and hybrid acceleration distributes compute work between CPUs and GPUs, with automated load-balancing shifting workload between particle-particle and PME calculations. These factors are summarized in Table 1, illustrating the layered parallelization levels that a modern hybrid application must coordinate.</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Parallelization levels relevant to mixed-mode MPI+OpenMP programming</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Parallelization level</w:t>
            </w:r>
          </w:p>
        </w:tc>
        <w:tc>
          <w:tcPr>
            <w:tcW w:w="3008" w:type="dxa"/>
          </w:tcPr>
          <w:p>
            <w:r>
              <w:rPr>
                <w:rFonts w:ascii="Times New Roman" w:hAnsi="Times New Roman"/>
                <w:b/>
                <w:sz w:val="24"/>
              </w:rPr>
              <w:t xml:space="preserve">Scope</w:t>
            </w:r>
          </w:p>
        </w:tc>
        <w:tc>
          <w:tcPr>
            <w:tcW w:w="3010" w:type="dxa"/>
          </w:tcPr>
          <w:p>
            <w:r>
              <w:rPr>
                <w:rFonts w:ascii="Times New Roman" w:hAnsi="Times New Roman"/>
                <w:b/>
                <w:sz w:val="24"/>
              </w:rPr>
              <w:t xml:space="preserve">Key characteristics</w:t>
            </w:r>
          </w:p>
        </w:tc>
      </w:tr>
      <w:tr>
        <w:tc>
          <w:tcPr>
            <w:tcW w:w="3008" w:type="dxa"/>
          </w:tcPr>
          <w:p>
            <w:r>
              <w:rPr>
                <w:rFonts w:ascii="Times New Roman" w:hAnsi="Times New Roman"/>
                <w:b w:val="0"/>
                <w:sz w:val="24"/>
              </w:rPr>
              <w:t xml:space="preserve">SIMD</w:t>
            </w:r>
          </w:p>
        </w:tc>
        <w:tc>
          <w:tcPr>
            <w:tcW w:w="3008" w:type="dxa"/>
          </w:tcPr>
          <w:p>
            <w:r>
              <w:rPr>
                <w:rFonts w:ascii="Times New Roman" w:hAnsi="Times New Roman"/>
                <w:b w:val="0"/>
                <w:sz w:val="24"/>
              </w:rPr>
              <w:t xml:space="preserve">Intra-core</w:t>
            </w:r>
          </w:p>
        </w:tc>
        <w:tc>
          <w:tcPr>
            <w:tcW w:w="3010" w:type="dxa"/>
          </w:tcPr>
          <w:p>
            <w:r>
              <w:rPr>
                <w:rFonts w:ascii="Times New Roman" w:hAnsi="Times New Roman"/>
                <w:b w:val="0"/>
                <w:sz w:val="24"/>
              </w:rPr>
              <w:t xml:space="preserve">Executes multiple floating-point instructions per cycle; used in optimized kernels</w:t>
            </w:r>
          </w:p>
        </w:tc>
      </w:tr>
      <w:tr>
        <w:tc>
          <w:tcPr>
            <w:tcW w:w="3008" w:type="dxa"/>
          </w:tcPr>
          <w:p>
            <w:r>
              <w:rPr>
                <w:rFonts w:ascii="Times New Roman" w:hAnsi="Times New Roman"/>
                <w:b w:val="0"/>
                <w:sz w:val="24"/>
              </w:rPr>
              <w:t xml:space="preserve">OpenMP</w:t>
            </w:r>
          </w:p>
        </w:tc>
        <w:tc>
          <w:tcPr>
            <w:tcW w:w="3008" w:type="dxa"/>
          </w:tcPr>
          <w:p>
            <w:r>
              <w:rPr>
                <w:rFonts w:ascii="Times New Roman" w:hAnsi="Times New Roman"/>
                <w:b w:val="0"/>
                <w:sz w:val="24"/>
              </w:rPr>
              <w:t xml:space="preserve">Intra-node (process)</w:t>
            </w:r>
          </w:p>
        </w:tc>
        <w:tc>
          <w:tcPr>
            <w:tcW w:w="3010" w:type="dxa"/>
          </w:tcPr>
          <w:p>
            <w:r>
              <w:rPr>
                <w:rFonts w:ascii="Times New Roman" w:hAnsi="Times New Roman"/>
                <w:b w:val="0"/>
                <w:sz w:val="24"/>
              </w:rPr>
              <w:t xml:space="preserve">Shares workload over cores; scales to 12–24 threads on Intel and 6–8 on AMD CPUs</w:t>
            </w:r>
          </w:p>
        </w:tc>
      </w:tr>
      <w:tr>
        <w:tc>
          <w:tcPr>
            <w:tcW w:w="3008" w:type="dxa"/>
          </w:tcPr>
          <w:p>
            <w:r>
              <w:rPr>
                <w:rFonts w:ascii="Times New Roman" w:hAnsi="Times New Roman"/>
                <w:b w:val="0"/>
                <w:sz w:val="24"/>
              </w:rPr>
              <w:t xml:space="preserve">MPI</w:t>
            </w:r>
          </w:p>
        </w:tc>
        <w:tc>
          <w:tcPr>
            <w:tcW w:w="3008" w:type="dxa"/>
          </w:tcPr>
          <w:p>
            <w:r>
              <w:rPr>
                <w:rFonts w:ascii="Times New Roman" w:hAnsi="Times New Roman"/>
                <w:b w:val="0"/>
                <w:sz w:val="24"/>
              </w:rPr>
              <w:t xml:space="preserve">Inter-node</w:t>
            </w:r>
          </w:p>
        </w:tc>
        <w:tc>
          <w:tcPr>
            <w:tcW w:w="3010" w:type="dxa"/>
          </w:tcPr>
          <w:p>
            <w:r>
              <w:rPr>
                <w:rFonts w:ascii="Times New Roman" w:hAnsi="Times New Roman"/>
                <w:b w:val="0"/>
                <w:sz w:val="24"/>
              </w:rPr>
              <w:t xml:space="preserve">Dominant multi-node scheme; rank may map to core, socket, node, or group; explicit communication</w:t>
            </w:r>
          </w:p>
        </w:tc>
      </w:tr>
      <w:tr>
        <w:tc>
          <w:tcPr>
            <w:tcW w:w="3008" w:type="dxa"/>
          </w:tcPr>
          <w:p>
            <w:r>
              <w:rPr>
                <w:rFonts w:ascii="Times New Roman" w:hAnsi="Times New Roman"/>
                <w:b w:val="0"/>
                <w:sz w:val="24"/>
              </w:rPr>
              <w:t xml:space="preserve">GPU offload</w:t>
            </w:r>
          </w:p>
        </w:tc>
        <w:tc>
          <w:tcPr>
            <w:tcW w:w="3008" w:type="dxa"/>
          </w:tcPr>
          <w:p>
            <w:r>
              <w:rPr>
                <w:rFonts w:ascii="Times New Roman" w:hAnsi="Times New Roman"/>
                <w:b w:val="0"/>
                <w:sz w:val="24"/>
              </w:rPr>
              <w:t xml:space="preserve">Node-level accelerator</w:t>
            </w:r>
          </w:p>
        </w:tc>
        <w:tc>
          <w:tcPr>
            <w:tcW w:w="3010" w:type="dxa"/>
          </w:tcPr>
          <w:p>
            <w:r>
              <w:rPr>
                <w:rFonts w:ascii="Times New Roman" w:hAnsi="Times New Roman"/>
                <w:b w:val="0"/>
                <w:sz w:val="24"/>
              </w:rPr>
              <w:t xml:space="preserve">Offloads non-bonded, PME, bonded, and update/constraints; enables CPU-GPU load balancing</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4. Theoretical Background</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Pure MPI, with one process per core, becomes increasingly inefficient on modern many-core nodes because it multiplies communication overhead and memory footprint. As GROMACS performance guidance observes, current multiprocessor machines can contain two to four CPUs with core counts as high as 64, while the memory and cache subsystem lags behind the multicore evolution, emphasizing non-uniform memory access (NUMA) effects. In a purely MPI-parallel scheme, every process has a separate address space, so each rank must replicate data structures and even intra-node data exchanges are carried out through the same network interface used for inter-node traffic. GROMACS notes that "all MPI processes use the same network interface" and that "communication between nodes can become a limiting factor," particularly in communication-intensive algorithms such as particle-mesh Ewald on fat nodes connected by a slow network. The result is that message counts scale with the number of cores, and duplicated memory consumes precious cache and bandwidth. This shortcoming motivates a hybrid strategy that consolidates work per node and exploits shared memory within each node.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Pure OpenMP, in contrast, cannot address distributed-memory parallelism across nodes and is inherently bounded by shared-memory contention. OpenMP is defined as a standardized technique supported by many compilers to share a compute workload over multiple cores, but it has no native mechanism for communication over a network; MPI remains the dominant multi-node parallelization scheme. GROMACS documentation explicitly treats OpenMP as often combined with MPI to achieve hybrid MPI/OpenMP parallelism, acknowledging that OpenMP alone does not scale beyond a single node. Furthermore, OpenMP scalability is not unbounded: GROMACS reports its OpenMP implementation scales well for up to 12–24 threads on Intel CPUs and 6–8 threads on AMD CPUs, after which memory bandwidth and synchronization overhead degrade performance. This means a modern 64-core node cannot be efficiently utilized by OpenMP alone without hitting a contention wall, nor can multiple nodes be co-scheduled without an external communication layer. Thus, pure OpenMP is insufficient for cluster-scale HPC, where the underlying hardware is hierarchical and distributed.</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foundational principle of MPI+OpenMP hybrid parallelization is to layer coarse-grained MPI ranks across nodes and sockets, then use OpenMP threads inside each rank to share work and reduce message traffic. GROMACS's multi-level parallelization explicitly aims to address NUMA and communication-related issues "by employing efficient intra-node parallelism, typically multithreading." The design maps each MPI rank to a socket or NUMA domain, with OpenMP threads pinned within that domain to preserve thread affinity and data locality. A key quantitative benefit is that, as GROMACS explains, using N OpenMP threads in a PME rank reduces the number of communicating processes—and therefore the number of messages—by a factor of N. In practice, hybrid runs can be as fast as or faster than pure MPI even at small process counts, as observed on multiprocessor Intel Westmere and Sandy Bridge systems. This hierarchical alignment of the programming model with the hardware topology reduces cross-socket communication, avoids redundant data copies, and improves load balancing, providing the theoretical rationale for the hybrid model's dominance in production HPC codes.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Recent innovations are refining the hybrid foundation by integrating one-sided communication and partitioned global address space (PGAS) semantics into OpenMP, addressing the complexity of traditional two-sided MPI+OpenMP while preserving its hierarchical layering. Research presented in arXiv:2409.02830 notes that MPI+X has been the de facto standard for distributed-memory parallel programming, but it is widely used primarily as an explicit two-sided communication model, which "often leads to complex and error-prone code." The PGAS model, by contrast, utilizes efficient one-sided communication and more intuitive primitives, and DiOMP—a novel approach built on LLVM and GASNet-EX—integrates PGAS concepts directly into OpenMP. Evaluations on the Ookami and NERSC Perlmutter platforms showed that DiOMP achieved up to 25% higher bandwidth and up to 45% lower latency compared to MPI+OpenMP. While DiOMP represents an alternative rather than a replacement for the hybrid model, it demonstrates that hybrid principles are actively evolving to improve productivity and performance. These developments frame the theoretical landscape for the rest of this report: MPI+OpenMP remains the workhorse, but its design space is being reshaped by one-sided communication and compiler/runtime integration.</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Comparison of parallel programming models relevant to hybrid HPC.</w:t>
      </w:r>
    </w:p>
    <w:tbl>
      <w:tblPr>
        <w:tblW w:type="auto" w:w="0"/>
        <w:tblLook w:val="04A0" w:firstRow="1" w:firstColumn="1" w:lastRow="0" w:lastColumn="0" w:noHBand="0" w:noVBand="1"/>
      </w:tblPr>
      <w:tblGrid>
        <w:gridCol w:w="1805"/>
        <w:gridCol w:w="1805"/>
        <w:gridCol w:w="1805"/>
        <w:gridCol w:w="1805"/>
        <w:gridCol w:w="1806"/>
      </w:tblGrid>
      <w:tr>
        <w:tc>
          <w:tcPr>
            <w:tcW w:w="1805" w:type="dxa"/>
          </w:tcPr>
          <w:p>
            <w:r>
              <w:rPr>
                <w:rFonts w:ascii="Times New Roman" w:hAnsi="Times New Roman"/>
                <w:b/>
                <w:sz w:val="24"/>
              </w:rPr>
              <w:t xml:space="preserve">Model</w:t>
            </w:r>
          </w:p>
        </w:tc>
        <w:tc>
          <w:tcPr>
            <w:tcW w:w="1805" w:type="dxa"/>
          </w:tcPr>
          <w:p>
            <w:r>
              <w:rPr>
                <w:rFonts w:ascii="Times New Roman" w:hAnsi="Times New Roman"/>
                <w:b/>
                <w:sz w:val="24"/>
              </w:rPr>
              <w:t xml:space="preserve">Memory model</w:t>
            </w:r>
          </w:p>
        </w:tc>
        <w:tc>
          <w:tcPr>
            <w:tcW w:w="1805" w:type="dxa"/>
          </w:tcPr>
          <w:p>
            <w:r>
              <w:rPr>
                <w:rFonts w:ascii="Times New Roman" w:hAnsi="Times New Roman"/>
                <w:b/>
                <w:sz w:val="24"/>
              </w:rPr>
              <w:t xml:space="preserve">Inter-node scaling</w:t>
            </w:r>
          </w:p>
        </w:tc>
        <w:tc>
          <w:tcPr>
            <w:tcW w:w="1805" w:type="dxa"/>
          </w:tcPr>
          <w:p>
            <w:r>
              <w:rPr>
                <w:rFonts w:ascii="Times New Roman" w:hAnsi="Times New Roman"/>
                <w:b/>
                <w:sz w:val="24"/>
              </w:rPr>
              <w:t xml:space="preserve">Intra-node scaling</w:t>
            </w:r>
          </w:p>
        </w:tc>
        <w:tc>
          <w:tcPr>
            <w:tcW w:w="1806" w:type="dxa"/>
          </w:tcPr>
          <w:p>
            <w:r>
              <w:rPr>
                <w:rFonts w:ascii="Times New Roman" w:hAnsi="Times New Roman"/>
                <w:b/>
                <w:sz w:val="24"/>
              </w:rPr>
              <w:t xml:space="preserve">Primary bottleneck</w:t>
            </w:r>
          </w:p>
        </w:tc>
      </w:tr>
      <w:tr>
        <w:tc>
          <w:tcPr>
            <w:tcW w:w="1805" w:type="dxa"/>
          </w:tcPr>
          <w:p>
            <w:r>
              <w:rPr>
                <w:rFonts w:ascii="Times New Roman" w:hAnsi="Times New Roman"/>
                <w:b w:val="0"/>
                <w:sz w:val="24"/>
              </w:rPr>
              <w:t xml:space="preserve">Pure MPI</w:t>
            </w:r>
          </w:p>
        </w:tc>
        <w:tc>
          <w:tcPr>
            <w:tcW w:w="1805" w:type="dxa"/>
          </w:tcPr>
          <w:p>
            <w:r>
              <w:rPr>
                <w:rFonts w:ascii="Times New Roman" w:hAnsi="Times New Roman"/>
                <w:b w:val="0"/>
                <w:sz w:val="24"/>
              </w:rPr>
              <w:t xml:space="preserve">Distributed (separate address spaces)</w:t>
            </w:r>
          </w:p>
        </w:tc>
        <w:tc>
          <w:tcPr>
            <w:tcW w:w="1805" w:type="dxa"/>
          </w:tcPr>
          <w:p>
            <w:r>
              <w:rPr>
                <w:rFonts w:ascii="Times New Roman" w:hAnsi="Times New Roman"/>
                <w:b w:val="0"/>
                <w:sz w:val="24"/>
              </w:rPr>
              <w:t xml:space="preserve">Strong; explicit message passing</w:t>
            </w:r>
          </w:p>
        </w:tc>
        <w:tc>
          <w:tcPr>
            <w:tcW w:w="1805" w:type="dxa"/>
          </w:tcPr>
          <w:p>
            <w:r>
              <w:rPr>
                <w:rFonts w:ascii="Times New Roman" w:hAnsi="Times New Roman"/>
                <w:b w:val="0"/>
                <w:sz w:val="24"/>
              </w:rPr>
              <w:t xml:space="preserve">Weak; one rank per core causes high message overhead</w:t>
            </w:r>
          </w:p>
        </w:tc>
        <w:tc>
          <w:tcPr>
            <w:tcW w:w="1806" w:type="dxa"/>
          </w:tcPr>
          <w:p>
            <w:r>
              <w:rPr>
                <w:rFonts w:ascii="Times New Roman" w:hAnsi="Times New Roman"/>
                <w:b w:val="0"/>
                <w:sz w:val="24"/>
              </w:rPr>
              <w:t xml:space="preserve">Network latency and duplicate memory</w:t>
            </w:r>
          </w:p>
        </w:tc>
      </w:tr>
      <w:tr>
        <w:tc>
          <w:tcPr>
            <w:tcW w:w="1805" w:type="dxa"/>
          </w:tcPr>
          <w:p>
            <w:r>
              <w:rPr>
                <w:rFonts w:ascii="Times New Roman" w:hAnsi="Times New Roman"/>
                <w:b w:val="0"/>
                <w:sz w:val="24"/>
              </w:rPr>
              <w:t xml:space="preserve">Pure OpenMP</w:t>
            </w:r>
          </w:p>
        </w:tc>
        <w:tc>
          <w:tcPr>
            <w:tcW w:w="1805" w:type="dxa"/>
          </w:tcPr>
          <w:p>
            <w:r>
              <w:rPr>
                <w:rFonts w:ascii="Times New Roman" w:hAnsi="Times New Roman"/>
                <w:b w:val="0"/>
                <w:sz w:val="24"/>
              </w:rPr>
              <w:t xml:space="preserve">Shared memory</w:t>
            </w:r>
          </w:p>
        </w:tc>
        <w:tc>
          <w:tcPr>
            <w:tcW w:w="1805" w:type="dxa"/>
          </w:tcPr>
          <w:p>
            <w:r>
              <w:rPr>
                <w:rFonts w:ascii="Times New Roman" w:hAnsi="Times New Roman"/>
                <w:b w:val="0"/>
                <w:sz w:val="24"/>
              </w:rPr>
              <w:t xml:space="preserve">None without external MPI; cannot span nodes</w:t>
            </w:r>
          </w:p>
        </w:tc>
        <w:tc>
          <w:tcPr>
            <w:tcW w:w="1805" w:type="dxa"/>
          </w:tcPr>
          <w:p>
            <w:r>
              <w:rPr>
                <w:rFonts w:ascii="Times New Roman" w:hAnsi="Times New Roman"/>
                <w:b w:val="0"/>
                <w:sz w:val="24"/>
              </w:rPr>
              <w:t xml:space="preserve">Moderate; limited by bandwidth and synchronization</w:t>
            </w:r>
          </w:p>
        </w:tc>
        <w:tc>
          <w:tcPr>
            <w:tcW w:w="1806" w:type="dxa"/>
          </w:tcPr>
          <w:p>
            <w:r>
              <w:rPr>
                <w:rFonts w:ascii="Times New Roman" w:hAnsi="Times New Roman"/>
                <w:b w:val="0"/>
                <w:sz w:val="24"/>
              </w:rPr>
              <w:t xml:space="preserve">Memory bandwidth and lock contention</w:t>
            </w:r>
          </w:p>
        </w:tc>
      </w:tr>
      <w:tr>
        <w:tc>
          <w:tcPr>
            <w:tcW w:w="1805" w:type="dxa"/>
          </w:tcPr>
          <w:p>
            <w:r>
              <w:rPr>
                <w:rFonts w:ascii="Times New Roman" w:hAnsi="Times New Roman"/>
                <w:b w:val="0"/>
                <w:sz w:val="24"/>
              </w:rPr>
              <w:t xml:space="preserve">MPI+OpenMP hybrid</w:t>
            </w:r>
          </w:p>
        </w:tc>
        <w:tc>
          <w:tcPr>
            <w:tcW w:w="1805" w:type="dxa"/>
          </w:tcPr>
          <w:p>
            <w:r>
              <w:rPr>
                <w:rFonts w:ascii="Times New Roman" w:hAnsi="Times New Roman"/>
                <w:b w:val="0"/>
                <w:sz w:val="24"/>
              </w:rPr>
              <w:t xml:space="preserve">Hierarchical: distributed across ranks, shared within rank</w:t>
            </w:r>
          </w:p>
        </w:tc>
        <w:tc>
          <w:tcPr>
            <w:tcW w:w="1805" w:type="dxa"/>
          </w:tcPr>
          <w:p>
            <w:r>
              <w:rPr>
                <w:rFonts w:ascii="Times New Roman" w:hAnsi="Times New Roman"/>
                <w:b w:val="0"/>
                <w:sz w:val="24"/>
              </w:rPr>
              <w:t xml:space="preserve">Strong; fewer ranks reduce message count</w:t>
            </w:r>
          </w:p>
        </w:tc>
        <w:tc>
          <w:tcPr>
            <w:tcW w:w="1805" w:type="dxa"/>
          </w:tcPr>
          <w:p>
            <w:r>
              <w:rPr>
                <w:rFonts w:ascii="Times New Roman" w:hAnsi="Times New Roman"/>
                <w:b w:val="0"/>
                <w:sz w:val="24"/>
              </w:rPr>
              <w:t xml:space="preserve">Good; threads share rank's data and cache</w:t>
            </w:r>
          </w:p>
        </w:tc>
        <w:tc>
          <w:tcPr>
            <w:tcW w:w="1806" w:type="dxa"/>
          </w:tcPr>
          <w:p>
            <w:r>
              <w:rPr>
                <w:rFonts w:ascii="Times New Roman" w:hAnsi="Times New Roman"/>
                <w:b w:val="0"/>
                <w:sz w:val="24"/>
              </w:rPr>
              <w:t xml:space="preserve">Load balance and affinity tuning</w:t>
            </w:r>
          </w:p>
        </w:tc>
      </w:tr>
      <w:tr>
        <w:tc>
          <w:tcPr>
            <w:tcW w:w="1805" w:type="dxa"/>
          </w:tcPr>
          <w:p>
            <w:r>
              <w:rPr>
                <w:rFonts w:ascii="Times New Roman" w:hAnsi="Times New Roman"/>
                <w:b w:val="0"/>
                <w:sz w:val="24"/>
              </w:rPr>
              <w:t xml:space="preserve">DiOMP/PGAS OpenMP</w:t>
            </w:r>
          </w:p>
        </w:tc>
        <w:tc>
          <w:tcPr>
            <w:tcW w:w="1805" w:type="dxa"/>
          </w:tcPr>
          <w:p>
            <w:r>
              <w:rPr>
                <w:rFonts w:ascii="Times New Roman" w:hAnsi="Times New Roman"/>
                <w:b w:val="0"/>
                <w:sz w:val="24"/>
              </w:rPr>
              <w:t xml:space="preserve">Distributed shared via PGAS one-sided</w:t>
            </w:r>
          </w:p>
        </w:tc>
        <w:tc>
          <w:tcPr>
            <w:tcW w:w="1805" w:type="dxa"/>
          </w:tcPr>
          <w:p>
            <w:r>
              <w:rPr>
                <w:rFonts w:ascii="Times New Roman" w:hAnsi="Times New Roman"/>
                <w:b w:val="0"/>
                <w:sz w:val="24"/>
              </w:rPr>
              <w:t xml:space="preserve">Strong; one-sided communication reduces latency</w:t>
            </w:r>
          </w:p>
        </w:tc>
        <w:tc>
          <w:tcPr>
            <w:tcW w:w="1805" w:type="dxa"/>
          </w:tcPr>
          <w:p>
            <w:r>
              <w:rPr>
                <w:rFonts w:ascii="Times New Roman" w:hAnsi="Times New Roman"/>
                <w:b w:val="0"/>
                <w:sz w:val="24"/>
              </w:rPr>
              <w:t xml:space="preserve">Good; compiler/runtime integrated</w:t>
            </w:r>
          </w:p>
        </w:tc>
        <w:tc>
          <w:tcPr>
            <w:tcW w:w="1806" w:type="dxa"/>
          </w:tcPr>
          <w:p>
            <w:r>
              <w:rPr>
                <w:rFonts w:ascii="Times New Roman" w:hAnsi="Times New Roman"/>
                <w:b w:val="0"/>
                <w:sz w:val="24"/>
              </w:rPr>
              <w:t xml:space="preserve">Runtime and compiler maturity</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5. Application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Production applications provide the clearest evidence that mixed-mode MPI+OpenMP has matured from an experimental technique into a default execution model for distributed-memory scientific software. In the molecular dynamics package GROMACS, the mdrun engine combines MPI-based domain decomposition for inter-node parallelism with OpenMP multithreading for intra-node parallelism, and it also ships thread-MPI, a drop-in implementation of a subset of MPI for single-node runs. The GROMACS performance documentation reports that its OpenMP implementation is efficient and scales well for approximately 12–24 threads on Intel processors and 6–8 threads on AMD processors, while the runtime automatically partitions work among thread-MPI ranks, OpenMP threads, and compatible GPUs according to the detected hardware. This institutionalization of hybrid parallelism matters because it shifts the burden from application developers to runtime configuration, enabling users to approach peak performance without rewriting their scientific codes.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Accelerator offloading, together with task-based scheduling of accelerator work, is now a central application-level strategy for sustaining performance growth. GROMACS can offload short-range non-bonded forces, particle-mesh Ewald (PME) long-range electrostatics, bonded forces, and update-and-constraint operations to GPUs, with native kernels implemented in CUDA, OpenCL, SYCL, and HIP; the same documentation lists OpenACC among the programming abstractions available for heterogeneous systems. The engine distinguishes between force-offload mode, in which the CPU retains integration, and GPU-resident mode, in which all supported force and coordinate data remain on the GPU over multiple steps, and it assigns distinct GPU tasks—such as non-bonded, PME, bonded, and update tasks—to specific accelerators. The consequence is that application performance now depends on matching hardware capabilities to task granularity: for example, the guidance that one to three MPI ranks should share a GPU in multi-GPU runs, and that one rank per GPU is best in GPU-resident mode, illustrates how accelerators have reshaped hybrid-programming best practice.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Alongside accelerator offloading, the emergence of PGAS-style one-sided communication represents a significant innovation in mixed-mode application programming. The DiOMP project integrates partitioned-global-address-space concepts directly into OpenMP, building on the LLVM compiler infrastructure and the GASNet-EX communication library, so that distributed OpenMP applications can use intuitive one-sided communication primitives instead of the explicit two-sided exchanges typical of MPI+OpenMP. In evaluations on the Stony Brook Ookami system and the NERSC Perlmutter machine, DiOMP achieved up to 25% higher bandwidth and as much as 45% lower latency than MPI+OpenMP on micro-benchmarks and application kernels. These quantitative results have a strategic implication: alternative communication models can improve both programmability and performance simultaneously, making them credible candidates for future HPC application frameworks.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Finally, disciplined performance engineering remains essential to realizing the potential of mixed-mode and heterogeneous execution, and application-level documentation offers concrete evidence of the possible gains. The GROMACS performance checklist warns that configuration issues can cause a performance difference of a factor of two, and it details choices such as the number of OpenMP threads per MPI rank, the allocation of dedicated PME ranks, dynamic load balancing, and the mapping of GPU tasks. It also defines a set of throughput metrics—ns/day, hour/ns, ms/step, and millions of non-bonded forces per second—that allow users to compare configurations across systems. In the DiOMP study, similarly, performance was measured on both micro-benchmarks and application kernels, demonstrating that one-sided communication gains are observable not only in synthetic tests but also in workloads representative of real applications. The broader lesson is that applications benefit most when new programming-model innovations are accompanied by rigorous measurement and tuning guidance, a combination that is likely to define the next generation of mixed-mode HPC practice.</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Table 1. Reported performance of the DiOMP PGAS-based distributed OpenMP model relative to MPI+OpenMP.</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Aspect</w:t>
            </w:r>
          </w:p>
        </w:tc>
        <w:tc>
          <w:tcPr>
            <w:tcW w:w="3008" w:type="dxa"/>
          </w:tcPr>
          <w:p>
            <w:r>
              <w:rPr>
                <w:rFonts w:ascii="Times New Roman" w:hAnsi="Times New Roman"/>
                <w:b/>
                <w:sz w:val="24"/>
              </w:rPr>
              <w:t xml:space="preserve">DiOMP result</w:t>
            </w:r>
          </w:p>
        </w:tc>
        <w:tc>
          <w:tcPr>
            <w:tcW w:w="3010" w:type="dxa"/>
          </w:tcPr>
          <w:p>
            <w:r>
              <w:rPr>
                <w:rFonts w:ascii="Times New Roman" w:hAnsi="Times New Roman"/>
                <w:b/>
                <w:sz w:val="24"/>
              </w:rPr>
              <w:t xml:space="preserve">Evaluation context</w:t>
            </w:r>
          </w:p>
        </w:tc>
      </w:tr>
      <w:tr>
        <w:tc>
          <w:tcPr>
            <w:tcW w:w="3008" w:type="dxa"/>
          </w:tcPr>
          <w:p>
            <w:r>
              <w:rPr>
                <w:rFonts w:ascii="Times New Roman" w:hAnsi="Times New Roman"/>
                <w:b w:val="0"/>
                <w:sz w:val="24"/>
              </w:rPr>
              <w:t xml:space="preserve">Bandwidth</w:t>
            </w:r>
          </w:p>
        </w:tc>
        <w:tc>
          <w:tcPr>
            <w:tcW w:w="3008" w:type="dxa"/>
          </w:tcPr>
          <w:p>
            <w:r>
              <w:rPr>
                <w:rFonts w:ascii="Times New Roman" w:hAnsi="Times New Roman"/>
                <w:b w:val="0"/>
                <w:sz w:val="24"/>
              </w:rPr>
              <w:t xml:space="preserve">Up to 25% higher than MPI+OpenMP</w:t>
            </w:r>
          </w:p>
        </w:tc>
        <w:tc>
          <w:tcPr>
            <w:tcW w:w="3010" w:type="dxa"/>
          </w:tcPr>
          <w:p>
            <w:r>
              <w:rPr>
                <w:rFonts w:ascii="Times New Roman" w:hAnsi="Times New Roman"/>
                <w:b w:val="0"/>
                <w:sz w:val="24"/>
              </w:rPr>
              <w:t xml:space="preserve">Micro-benchmarks and application kernels on Ookami and NERSC Perlmutter</w:t>
            </w:r>
          </w:p>
        </w:tc>
      </w:tr>
      <w:tr>
        <w:tc>
          <w:tcPr>
            <w:tcW w:w="3008" w:type="dxa"/>
          </w:tcPr>
          <w:p>
            <w:r>
              <w:rPr>
                <w:rFonts w:ascii="Times New Roman" w:hAnsi="Times New Roman"/>
                <w:b w:val="0"/>
                <w:sz w:val="24"/>
              </w:rPr>
              <w:t xml:space="preserve">Latency</w:t>
            </w:r>
          </w:p>
        </w:tc>
        <w:tc>
          <w:tcPr>
            <w:tcW w:w="3008" w:type="dxa"/>
          </w:tcPr>
          <w:p>
            <w:r>
              <w:rPr>
                <w:rFonts w:ascii="Times New Roman" w:hAnsi="Times New Roman"/>
                <w:b w:val="0"/>
                <w:sz w:val="24"/>
              </w:rPr>
              <w:t xml:space="preserve">Up to 45% lower than MPI+OpenMP</w:t>
            </w:r>
          </w:p>
        </w:tc>
        <w:tc>
          <w:tcPr>
            <w:tcW w:w="3010" w:type="dxa"/>
          </w:tcPr>
          <w:p>
            <w:r>
              <w:rPr>
                <w:rFonts w:ascii="Times New Roman" w:hAnsi="Times New Roman"/>
                <w:b w:val="0"/>
                <w:sz w:val="24"/>
              </w:rPr>
              <w:t xml:space="preserve">Micro-benchmarks and application kernels on Ookami and NERSC Perlmutter</w:t>
            </w:r>
          </w:p>
        </w:tc>
      </w:tr>
      <w:tr>
        <w:tc>
          <w:tcPr>
            <w:tcW w:w="3008" w:type="dxa"/>
          </w:tcPr>
          <w:p>
            <w:r>
              <w:rPr>
                <w:rFonts w:ascii="Times New Roman" w:hAnsi="Times New Roman"/>
                <w:b w:val="0"/>
                <w:sz w:val="24"/>
              </w:rPr>
              <w:t xml:space="preserve">Platforms</w:t>
            </w:r>
          </w:p>
        </w:tc>
        <w:tc>
          <w:tcPr>
            <w:tcW w:w="3008" w:type="dxa"/>
          </w:tcPr>
          <w:p>
            <w:r>
              <w:rPr>
                <w:rFonts w:ascii="Times New Roman" w:hAnsi="Times New Roman"/>
                <w:b w:val="0"/>
                <w:sz w:val="24"/>
              </w:rPr>
              <w:t xml:space="preserve">Ookami and NERSC Perlmutter</w:t>
            </w:r>
          </w:p>
        </w:tc>
        <w:tc>
          <w:tcPr>
            <w:tcW w:w="3010" w:type="dxa"/>
          </w:tcPr>
          <w:p>
            <w:r>
              <w:rPr>
                <w:rFonts w:ascii="Times New Roman" w:hAnsi="Times New Roman"/>
                <w:b w:val="0"/>
                <w:sz w:val="24"/>
              </w:rPr>
              <w:t xml:space="preserve">Distributed-memory systems with LLVM and GASNet-EX backend</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6. Future Scope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Persistent kernel-based execution represents a promising research direction for reducing the per-step overheads that limit current mixed-mode MPI+OpenMP runs. Evidence from GROMACS shows that GPU-resident mode, where coordinates and forces remain on the GPU for multiple steps, eliminates most CPU-GPU transfers and yields performance gains on fast GPUs paired with slower CPUs. Additionally, CUDA graphs were introduced to lower GPU launch overhead, further amortizing scheduling costs. The implication is that hybrid runtimes should support persistent kernel abstractions that enable cross-step data retention and launch batching, thereby making mixed-mode programming more competitive on accelerated clusters.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Tighter integration of communication and threading runtimes is a second major research avenue. The conventional MPI+OpenMP split introduces complexity and often requires two distinct programming models, but recent work on PGAS-based distributed OpenMP, such as DiOMP, integrates one-sided communication directly into OpenMP via GASNet-EX. The study reports that DiOMP achieves up to 25% higher bandwidth and up to 45% lower latency than MPI+OpenMP on systems like Perlmutter. This suggests that future runtimes may offer a unified model that preserves performance while reducing code complexity, a critical step towards more productive HPC programming.</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Heterogeneous resource management, particularly the automated balancing of work across CPUs, GPUs, and NUMA domains, remains an open challenge. GROMACS demonstrates both the potential and the limitations of current approaches: automated CPU-GPU load balancing shifts PME work, but users must still manually select PME ranks, OpenMP threads, and thread affinities to reach peak performance. Furthermore, dynamic load balancing between MPI ranks is described as essential for heterogeneous systems but is not compatible with GPU-resident mode. Future work should therefore target runtime systems that can automatically infer hardware topology and workload characteristics to make these decisions transparently.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For developers, the pragmatic recommendation is to treat configuration as an iterative, measurement-driven process. GROMACS provides a performance checklist and a set of cycle counters in the log file that identify imbalances and communication bottlenecks, enabling users to choose appropriate numbers of MPI ranks, OpenMP threads, and GPU assignments. While emerging models like DiOMP may eventually simplify distributed programming, today's mixed-mode codes still require careful tuning; the most effective strategy is to start from the runtime's default auto-detection, then refine parameters based on profiling evidence. This evidence-based approach bridges the gap between bleeding-edge research and production robustness.</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Open research directions and anticipated impacts for mixed-mode MPI+OpenMP systems.</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Direction</w:t>
            </w:r>
          </w:p>
        </w:tc>
        <w:tc>
          <w:tcPr>
            <w:tcW w:w="3008" w:type="dxa"/>
          </w:tcPr>
          <w:p>
            <w:r>
              <w:rPr>
                <w:rFonts w:ascii="Times New Roman" w:hAnsi="Times New Roman"/>
                <w:b/>
                <w:sz w:val="24"/>
              </w:rPr>
              <w:t xml:space="preserve">Evidence Base</w:t>
            </w:r>
          </w:p>
        </w:tc>
        <w:tc>
          <w:tcPr>
            <w:tcW w:w="3010" w:type="dxa"/>
          </w:tcPr>
          <w:p>
            <w:r>
              <w:rPr>
                <w:rFonts w:ascii="Times New Roman" w:hAnsi="Times New Roman"/>
                <w:b/>
                <w:sz w:val="24"/>
              </w:rPr>
              <w:t xml:space="preserve">Expected Impact</w:t>
            </w:r>
          </w:p>
        </w:tc>
      </w:tr>
      <w:tr>
        <w:tc>
          <w:tcPr>
            <w:tcW w:w="3008" w:type="dxa"/>
          </w:tcPr>
          <w:p>
            <w:r>
              <w:rPr>
                <w:rFonts w:ascii="Times New Roman" w:hAnsi="Times New Roman"/>
                <w:b w:val="0"/>
                <w:sz w:val="24"/>
              </w:rPr>
              <w:t xml:space="preserve">Persistent kernels / GPU-resident execution</w:t>
            </w:r>
          </w:p>
        </w:tc>
        <w:tc>
          <w:tcPr>
            <w:tcW w:w="3008" w:type="dxa"/>
          </w:tcPr>
          <w:p>
            <w:r>
              <w:rPr>
                <w:rFonts w:ascii="Times New Roman" w:hAnsi="Times New Roman"/>
                <w:b w:val="0"/>
                <w:sz w:val="24"/>
              </w:rPr>
              <w:t xml:space="preserve">GROMACS GPU-resident mode reduces CPU-GPU transfers; CUDA graphs reduce launch overhead</w:t>
            </w:r>
          </w:p>
        </w:tc>
        <w:tc>
          <w:tcPr>
            <w:tcW w:w="3010" w:type="dxa"/>
          </w:tcPr>
          <w:p>
            <w:r>
              <w:rPr>
                <w:rFonts w:ascii="Times New Roman" w:hAnsi="Times New Roman"/>
                <w:b w:val="0"/>
                <w:sz w:val="24"/>
              </w:rPr>
              <w:t xml:space="preserve">Lower per-step latency and higher throughput on GPU-tight systems</w:t>
            </w:r>
          </w:p>
        </w:tc>
      </w:tr>
      <w:tr>
        <w:tc>
          <w:tcPr>
            <w:tcW w:w="3008" w:type="dxa"/>
          </w:tcPr>
          <w:p>
            <w:r>
              <w:rPr>
                <w:rFonts w:ascii="Times New Roman" w:hAnsi="Times New Roman"/>
                <w:b w:val="0"/>
                <w:sz w:val="24"/>
              </w:rPr>
              <w:t xml:space="preserve">Unified PGAS/communication runtimes</w:t>
            </w:r>
          </w:p>
        </w:tc>
        <w:tc>
          <w:tcPr>
            <w:tcW w:w="3008" w:type="dxa"/>
          </w:tcPr>
          <w:p>
            <w:r>
              <w:rPr>
                <w:rFonts w:ascii="Times New Roman" w:hAnsi="Times New Roman"/>
                <w:b w:val="0"/>
                <w:sz w:val="24"/>
              </w:rPr>
              <w:t xml:space="preserve">DiOMP integrated one-sided communication into OpenMP, improving bandwidth by 25% and latency by 45%</w:t>
            </w:r>
          </w:p>
        </w:tc>
        <w:tc>
          <w:tcPr>
            <w:tcW w:w="3010" w:type="dxa"/>
          </w:tcPr>
          <w:p>
            <w:r>
              <w:rPr>
                <w:rFonts w:ascii="Times New Roman" w:hAnsi="Times New Roman"/>
                <w:b w:val="0"/>
                <w:sz w:val="24"/>
              </w:rPr>
              <w:t xml:space="preserve">Reduced code complexity and improved portability while maintaining performance</w:t>
            </w:r>
          </w:p>
        </w:tc>
      </w:tr>
      <w:tr>
        <w:tc>
          <w:tcPr>
            <w:tcW w:w="3008" w:type="dxa"/>
          </w:tcPr>
          <w:p>
            <w:r>
              <w:rPr>
                <w:rFonts w:ascii="Times New Roman" w:hAnsi="Times New Roman"/>
                <w:b w:val="0"/>
                <w:sz w:val="24"/>
              </w:rPr>
              <w:t xml:space="preserve">Autonomous heterogeneous load balancing</w:t>
            </w:r>
          </w:p>
        </w:tc>
        <w:tc>
          <w:tcPr>
            <w:tcW w:w="3008" w:type="dxa"/>
          </w:tcPr>
          <w:p>
            <w:r>
              <w:rPr>
                <w:rFonts w:ascii="Times New Roman" w:hAnsi="Times New Roman"/>
                <w:b w:val="0"/>
                <w:sz w:val="24"/>
              </w:rPr>
              <w:t xml:space="preserve">GROMACS automated CPU-GPU PME balancing but still requires manual rank/thread selection</w:t>
            </w:r>
          </w:p>
        </w:tc>
        <w:tc>
          <w:tcPr>
            <w:tcW w:w="3010" w:type="dxa"/>
          </w:tcPr>
          <w:p>
            <w:r>
              <w:rPr>
                <w:rFonts w:ascii="Times New Roman" w:hAnsi="Times New Roman"/>
                <w:b w:val="0"/>
                <w:sz w:val="24"/>
              </w:rPr>
              <w:t xml:space="preserve">Transparent optimization of CPU-GPU-NUMA resources; faster deployment</w:t>
            </w:r>
          </w:p>
        </w:tc>
      </w:tr>
      <w:tr>
        <w:tc>
          <w:tcPr>
            <w:tcW w:w="3008" w:type="dxa"/>
          </w:tcPr>
          <w:p>
            <w:r>
              <w:rPr>
                <w:rFonts w:ascii="Times New Roman" w:hAnsi="Times New Roman"/>
                <w:b w:val="0"/>
                <w:sz w:val="24"/>
              </w:rPr>
              <w:t xml:space="preserve">Performance-guided configuration tooling</w:t>
            </w:r>
          </w:p>
        </w:tc>
        <w:tc>
          <w:tcPr>
            <w:tcW w:w="3008" w:type="dxa"/>
          </w:tcPr>
          <w:p>
            <w:r>
              <w:rPr>
                <w:rFonts w:ascii="Times New Roman" w:hAnsi="Times New Roman"/>
                <w:b w:val="0"/>
                <w:sz w:val="24"/>
              </w:rPr>
              <w:t xml:space="preserve">GROMACS performance metrics and tuning utilities (e.g., tune_pme) enable evidence-based tuning</w:t>
            </w:r>
          </w:p>
        </w:tc>
        <w:tc>
          <w:tcPr>
            <w:tcW w:w="3010" w:type="dxa"/>
          </w:tcPr>
          <w:p>
            <w:r>
              <w:rPr>
                <w:rFonts w:ascii="Times New Roman" w:hAnsi="Times New Roman"/>
                <w:b w:val="0"/>
                <w:sz w:val="24"/>
              </w:rPr>
              <w:t xml:space="preserve">More reproducible and efficient production runs across diverse architectures</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7. Conclusion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central finding of this report is that mixed-mode MPI+OpenMP programming remains not only viable but increasingly essential in contemporary high-performance computing, provided its deployment is informed by the architectural realities of modern nodes. Evidence from the GROMACS molecular dynamics package demonstrates that hybrid configurations can match or outperform pure MPI even at modest process counts on certain multi-processor Intel systems, and yield more pronounced benefits in highly parallel runs where communication bottlenecks dominate. This is corroborated by recent innovations such as DiOMP, a PGAS-based distributed OpenMP model that reports up to 25% higher bandwidth and up to 45% lower latency than conventional MPI+OpenMP. The implication is that the hybrid model is not a legacy compromise but a dynamic framework that continues to generate performance gains when adapted to current hardware and communication APIs.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A recurring theme across both foundational and recent work is the need to align programming-model choices with the hardware's memory hierarchy and communication topology. The increasing core counts and multi-socket designs—up to 64 cores and 2–4 CPUs per node—amplify non-uniform memory access (NUMA) effects and place pressure on shared network interfaces, making intra-node parallelization via OpenMP an attractive complement to MPI's inter-node role. Yet GROMACS documentation cautions that combining OpenMP with MPI introduces its own overhead, particularly when separate multi-threaded PME ranks are used, and that performance can be considerably slower on architectures such as AMD Interlagos. These observations reinforce the conclusion that there is no universally optimal configuration; rather, the viability of hybrid MPI+OpenMP depends on careful matching of thread counts, rank placement, and workload decomposition to the specific memory and communication characteristics of the target machine.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Recent trends in hybrid programming also emphasize intelligent load balancing and heterogeneous offloading, which together expand the design space beyond simple CPU-core partitioning. GROMACS, for example, supports automated CPU–GPU load balancing, separate PME ranks, and the tune_pme utility to shift work between particle-particle and long-range electrostatics components, thereby mitigating communication-induced imbalance. DiOMP extends this trend by integrating PGAS concepts into OpenMP, offering one-sided communication primitives that reduce code complexity while preserving scalability on distributed systems. These developments indicate that the future of hybrid MPI+OpenMP lies in combining it with auto-tuning and accelerator offload strategies, converting what were once manual performance-tuning burdens into software-managed decisions that adapt to hardware heterogeneity.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In conclusion, the evidence presented in this report affirms that hybrid MPI+OpenMP programming is not only tenable but advantageous when implemented with a clear understanding of the underlying hardware. The key takeaway is that performance portability across diverse HPC platforms—from fat nodes with deep NUMA hierarchies to GPU-accelerated clusters—demands a flexible approach where the number of MPI ranks, OpenMP threads per rank, and offload decisions are treated as tunable parameters rather than fixed choices. As demonstrated by DiOMP's promising results and GROMACS's adaptive load-balancing mechanisms, ongoing innovation in runtime systems and compiler infrastructure will continue to lower the barriers to effective hybrid programming. Ultimately, the most robust strategy is empirical: as GROMACS documentation advises, only testing and performance measurement can reveal which configuration is best for a given machine, and the same principle should guide practitioners adopting mixed-mode MPI+OpenMP in the coming generation of exascale systems.</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Qualitative comparison of pure MPI and hybrid MPI+OpenMP configurations based on documented HPC practice.</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Dimension</w:t>
            </w:r>
          </w:p>
        </w:tc>
        <w:tc>
          <w:tcPr>
            <w:tcW w:w="3008" w:type="dxa"/>
          </w:tcPr>
          <w:p>
            <w:r>
              <w:rPr>
                <w:rFonts w:ascii="Times New Roman" w:hAnsi="Times New Roman"/>
                <w:b/>
                <w:sz w:val="24"/>
              </w:rPr>
              <w:t xml:space="preserve">Pure MPI</w:t>
            </w:r>
          </w:p>
        </w:tc>
        <w:tc>
          <w:tcPr>
            <w:tcW w:w="3010" w:type="dxa"/>
          </w:tcPr>
          <w:p>
            <w:r>
              <w:rPr>
                <w:rFonts w:ascii="Times New Roman" w:hAnsi="Times New Roman"/>
                <w:b/>
                <w:sz w:val="24"/>
              </w:rPr>
              <w:t xml:space="preserve">MPI+OpenMP</w:t>
            </w:r>
          </w:p>
        </w:tc>
      </w:tr>
      <w:tr>
        <w:tc>
          <w:tcPr>
            <w:tcW w:w="3008" w:type="dxa"/>
          </w:tcPr>
          <w:p>
            <w:r>
              <w:rPr>
                <w:rFonts w:ascii="Times New Roman" w:hAnsi="Times New Roman"/>
                <w:b w:val="0"/>
                <w:sz w:val="24"/>
              </w:rPr>
              <w:t xml:space="preserve">Communication pattern</w:t>
            </w:r>
          </w:p>
        </w:tc>
        <w:tc>
          <w:tcPr>
            <w:tcW w:w="3008" w:type="dxa"/>
          </w:tcPr>
          <w:p>
            <w:r>
              <w:rPr>
                <w:rFonts w:ascii="Times New Roman" w:hAnsi="Times New Roman"/>
                <w:b w:val="0"/>
                <w:sz w:val="24"/>
              </w:rPr>
              <w:t xml:space="preserve">Explicit two-sided messaging often leads to complex and error-prone code</w:t>
            </w:r>
          </w:p>
        </w:tc>
        <w:tc>
          <w:tcPr>
            <w:tcW w:w="3010" w:type="dxa"/>
          </w:tcPr>
          <w:p>
            <w:r>
              <w:rPr>
                <w:rFonts w:ascii="Times New Roman" w:hAnsi="Times New Roman"/>
                <w:b w:val="0"/>
                <w:sz w:val="24"/>
              </w:rPr>
              <w:t xml:space="preserve">Intra-node threads reduce message count; one-sided PGAS alternatives improve productivity</w:t>
            </w:r>
          </w:p>
        </w:tc>
      </w:tr>
      <w:tr>
        <w:tc>
          <w:tcPr>
            <w:tcW w:w="3008" w:type="dxa"/>
          </w:tcPr>
          <w:p>
            <w:r>
              <w:rPr>
                <w:rFonts w:ascii="Times New Roman" w:hAnsi="Times New Roman"/>
                <w:b w:val="0"/>
                <w:sz w:val="24"/>
              </w:rPr>
              <w:t xml:space="preserve">Memory locality</w:t>
            </w:r>
          </w:p>
        </w:tc>
        <w:tc>
          <w:tcPr>
            <w:tcW w:w="3008" w:type="dxa"/>
          </w:tcPr>
          <w:p>
            <w:r>
              <w:rPr>
                <w:rFonts w:ascii="Times New Roman" w:hAnsi="Times New Roman"/>
                <w:b w:val="0"/>
                <w:sz w:val="24"/>
              </w:rPr>
              <w:t xml:space="preserve">Frequent remote accesses may aggravate NUMA penalties</w:t>
            </w:r>
          </w:p>
        </w:tc>
        <w:tc>
          <w:tcPr>
            <w:tcW w:w="3010" w:type="dxa"/>
          </w:tcPr>
          <w:p>
            <w:r>
              <w:rPr>
                <w:rFonts w:ascii="Times New Roman" w:hAnsi="Times New Roman"/>
                <w:b w:val="0"/>
                <w:sz w:val="24"/>
              </w:rPr>
              <w:t xml:space="preserve">Threads share address space, improving locality within a socket or node</w:t>
            </w:r>
          </w:p>
        </w:tc>
      </w:tr>
      <w:tr>
        <w:tc>
          <w:tcPr>
            <w:tcW w:w="3008" w:type="dxa"/>
          </w:tcPr>
          <w:p>
            <w:r>
              <w:rPr>
                <w:rFonts w:ascii="Times New Roman" w:hAnsi="Times New Roman"/>
                <w:b w:val="0"/>
                <w:sz w:val="24"/>
              </w:rPr>
              <w:t xml:space="preserve">Scalability</w:t>
            </w:r>
          </w:p>
        </w:tc>
        <w:tc>
          <w:tcPr>
            <w:tcW w:w="3008" w:type="dxa"/>
          </w:tcPr>
          <w:p>
            <w:r>
              <w:rPr>
                <w:rFonts w:ascii="Times New Roman" w:hAnsi="Times New Roman"/>
                <w:b w:val="0"/>
                <w:sz w:val="24"/>
              </w:rPr>
              <w:t xml:space="preserve">Effective to the strong-scaling limit, then degradation due to global communication</w:t>
            </w:r>
          </w:p>
        </w:tc>
        <w:tc>
          <w:tcPr>
            <w:tcW w:w="3010" w:type="dxa"/>
          </w:tcPr>
          <w:p>
            <w:r>
              <w:rPr>
                <w:rFonts w:ascii="Times New Roman" w:hAnsi="Times New Roman"/>
                <w:b w:val="0"/>
                <w:sz w:val="24"/>
              </w:rPr>
              <w:t xml:space="preserve">Extends absolute performance near the scaling limit by leveraging core-level parallelism</w:t>
            </w:r>
          </w:p>
        </w:tc>
      </w:tr>
      <w:tr>
        <w:tc>
          <w:tcPr>
            <w:tcW w:w="3008" w:type="dxa"/>
          </w:tcPr>
          <w:p>
            <w:r>
              <w:rPr>
                <w:rFonts w:ascii="Times New Roman" w:hAnsi="Times New Roman"/>
                <w:b w:val="0"/>
                <w:sz w:val="24"/>
              </w:rPr>
              <w:t xml:space="preserve">Overhead</w:t>
            </w:r>
          </w:p>
        </w:tc>
        <w:tc>
          <w:tcPr>
            <w:tcW w:w="3008" w:type="dxa"/>
          </w:tcPr>
          <w:p>
            <w:r>
              <w:rPr>
                <w:rFonts w:ascii="Times New Roman" w:hAnsi="Times New Roman"/>
                <w:b w:val="0"/>
                <w:sz w:val="24"/>
              </w:rPr>
              <w:t xml:space="preserve">Minimal software overhead per rank</w:t>
            </w:r>
          </w:p>
        </w:tc>
        <w:tc>
          <w:tcPr>
            <w:tcW w:w="3010" w:type="dxa"/>
          </w:tcPr>
          <w:p>
            <w:r>
              <w:rPr>
                <w:rFonts w:ascii="Times New Roman" w:hAnsi="Times New Roman"/>
                <w:b w:val="0"/>
                <w:sz w:val="24"/>
              </w:rPr>
              <w:t xml:space="preserve">Additional synchronization overhead, especially with multi-threaded PME ranks</w:t>
            </w:r>
          </w:p>
        </w:tc>
      </w:tr>
      <w:tr>
        <w:tc>
          <w:tcPr>
            <w:tcW w:w="3008" w:type="dxa"/>
          </w:tcPr>
          <w:p>
            <w:r>
              <w:rPr>
                <w:rFonts w:ascii="Times New Roman" w:hAnsi="Times New Roman"/>
                <w:b w:val="0"/>
                <w:sz w:val="24"/>
              </w:rPr>
              <w:t xml:space="preserve">Hardware sensitivity</w:t>
            </w:r>
          </w:p>
        </w:tc>
        <w:tc>
          <w:tcPr>
            <w:tcW w:w="3008" w:type="dxa"/>
          </w:tcPr>
          <w:p>
            <w:r>
              <w:rPr>
                <w:rFonts w:ascii="Times New Roman" w:hAnsi="Times New Roman"/>
                <w:b w:val="0"/>
                <w:sz w:val="24"/>
              </w:rPr>
              <w:t xml:space="preserve">Sensitive to network latency and MPI implementation</w:t>
            </w:r>
          </w:p>
        </w:tc>
        <w:tc>
          <w:tcPr>
            <w:tcW w:w="3010" w:type="dxa"/>
          </w:tcPr>
          <w:p>
            <w:r>
              <w:rPr>
                <w:rFonts w:ascii="Times New Roman" w:hAnsi="Times New Roman"/>
                <w:b w:val="0"/>
                <w:sz w:val="24"/>
              </w:rPr>
              <w:t xml:space="preserve">Benefits highly dependent on CPU architecture (e.g., Intel vs. AMD) and NUMA topology</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8. References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1. Shan, B. et al. (2024). Towards a Scalable and Efficient PGAS-based Distributed OpenMP. arXiv:2409.02830.</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2. GROMACS Development Team. (2024). Getting good performance from mdrun. GROMACS Documentation. https://manual.gromacs.org/.</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3. GROMACS Development Team. (2015). Getting good performance from mdrun. GROMACS 5.1.1 Documentation. https://manual.gromacs.org/5.1.1/.</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4. GROMACS Development Team. (2024). GROMACS Reference Manual. GROMACS project. https://manual.gromacs.org/.</w:t>
      </w:r>
    </w:p>
    <w:sectPr w:rsidR="0024737E">
      <w:headerReference w:type="even" r:id="rId7"/>
      <w:headerReference w:type="default" r:id="rId8"/>
      <w:footerReference w:type="default" r:id="rId9"/>
      <w:headerReference w:type="firs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D0B80" w14:textId="77777777" w:rsidR="00C0163D" w:rsidRDefault="00C0163D">
      <w:pPr>
        <w:spacing w:after="0" w:line="240" w:lineRule="auto"/>
      </w:pPr>
      <w:r>
        <w:separator/>
      </w:r>
    </w:p>
  </w:endnote>
  <w:endnote w:type="continuationSeparator" w:id="0">
    <w:p w14:paraId="34E91128" w14:textId="77777777" w:rsidR="00C0163D" w:rsidRDefault="00C01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E491" w14:textId="77777777" w:rsidR="0024737E" w:rsidRDefault="00C0163D">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color w:val="000000"/>
      </w:rPr>
      <w:t xml:space="preserve"> | </w:t>
    </w:r>
    <w:r>
      <w:rPr>
        <w:color w:val="7F7F7F"/>
      </w:rPr>
      <w:t>Page</w:t>
    </w:r>
  </w:p>
  <w:p w14:paraId="42E45DCD" w14:textId="77777777" w:rsidR="0024737E" w:rsidRDefault="0024737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872C3" w14:textId="77777777" w:rsidR="00C0163D" w:rsidRDefault="00C0163D">
      <w:pPr>
        <w:spacing w:after="0" w:line="240" w:lineRule="auto"/>
      </w:pPr>
      <w:r>
        <w:separator/>
      </w:r>
    </w:p>
  </w:footnote>
  <w:footnote w:type="continuationSeparator" w:id="0">
    <w:p w14:paraId="6AED0DCB" w14:textId="77777777" w:rsidR="00C0163D" w:rsidRDefault="00C016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embedTrueTypeFonts/>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37E"/>
    <w:rsid w:val="0024737E"/>
    <w:rsid w:val="006B04B1"/>
    <w:rsid w:val="00C01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1B5BF35"/>
  <w15:docId w15:val="{BD96ADA3-9EA0-F64A-BC9C-02C81E4B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63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263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D4F"/>
    <w:rPr>
      <w:rFonts w:eastAsiaTheme="majorEastAsia" w:cstheme="majorBidi"/>
      <w:color w:val="272727" w:themeColor="text1" w:themeTint="D8"/>
    </w:rPr>
  </w:style>
  <w:style w:type="character" w:customStyle="1" w:styleId="TitleChar">
    <w:name w:val="Title Char"/>
    <w:basedOn w:val="DefaultParagraphFont"/>
    <w:link w:val="Title"/>
    <w:uiPriority w:val="10"/>
    <w:rsid w:val="00263D4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63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D4F"/>
    <w:pPr>
      <w:spacing w:before="160"/>
      <w:jc w:val="center"/>
    </w:pPr>
    <w:rPr>
      <w:i/>
      <w:iCs/>
      <w:color w:val="404040" w:themeColor="text1" w:themeTint="BF"/>
    </w:rPr>
  </w:style>
  <w:style w:type="character" w:customStyle="1" w:styleId="QuoteChar">
    <w:name w:val="Quote Char"/>
    <w:basedOn w:val="DefaultParagraphFont"/>
    <w:link w:val="Quote"/>
    <w:uiPriority w:val="29"/>
    <w:rsid w:val="00263D4F"/>
    <w:rPr>
      <w:i/>
      <w:iCs/>
      <w:color w:val="404040" w:themeColor="text1" w:themeTint="BF"/>
    </w:rPr>
  </w:style>
  <w:style w:type="paragraph" w:styleId="ListParagraph">
    <w:name w:val="List Paragraph"/>
    <w:basedOn w:val="Normal"/>
    <w:uiPriority w:val="34"/>
    <w:qFormat/>
    <w:rsid w:val="00263D4F"/>
    <w:pPr>
      <w:ind w:left="720"/>
      <w:contextualSpacing/>
    </w:pPr>
  </w:style>
  <w:style w:type="character" w:styleId="IntenseEmphasis">
    <w:name w:val="Intense Emphasis"/>
    <w:basedOn w:val="DefaultParagraphFont"/>
    <w:uiPriority w:val="21"/>
    <w:qFormat/>
    <w:rsid w:val="00263D4F"/>
    <w:rPr>
      <w:i/>
      <w:iCs/>
      <w:color w:val="2F5496" w:themeColor="accent1" w:themeShade="BF"/>
    </w:rPr>
  </w:style>
  <w:style w:type="paragraph" w:styleId="IntenseQuote">
    <w:name w:val="Intense Quote"/>
    <w:basedOn w:val="Normal"/>
    <w:next w:val="Normal"/>
    <w:link w:val="IntenseQuoteChar"/>
    <w:uiPriority w:val="30"/>
    <w:qFormat/>
    <w:rsid w:val="00263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D4F"/>
    <w:rPr>
      <w:i/>
      <w:iCs/>
      <w:color w:val="2F5496" w:themeColor="accent1" w:themeShade="BF"/>
    </w:rPr>
  </w:style>
  <w:style w:type="character" w:styleId="IntenseReference">
    <w:name w:val="Intense Reference"/>
    <w:basedOn w:val="DefaultParagraphFont"/>
    <w:uiPriority w:val="32"/>
    <w:qFormat/>
    <w:rsid w:val="00263D4F"/>
    <w:rPr>
      <w:b/>
      <w:bCs/>
      <w:smallCaps/>
      <w:color w:val="2F5496" w:themeColor="accent1" w:themeShade="BF"/>
      <w:spacing w:val="5"/>
    </w:rPr>
  </w:style>
  <w:style w:type="paragraph" w:styleId="Header">
    <w:name w:val="header"/>
    <w:basedOn w:val="Normal"/>
    <w:link w:val="HeaderChar"/>
    <w:uiPriority w:val="99"/>
    <w:unhideWhenUsed/>
    <w:rsid w:val="00263D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3D4F"/>
  </w:style>
  <w:style w:type="paragraph" w:styleId="Footer">
    <w:name w:val="footer"/>
    <w:basedOn w:val="Normal"/>
    <w:link w:val="FooterChar"/>
    <w:uiPriority w:val="99"/>
    <w:unhideWhenUsed/>
    <w:rsid w:val="00263D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3D4F"/>
  </w:style>
  <w:style w:type="table" w:styleId="PlainTable1">
    <w:name w:val="Plain Table 1"/>
    <w:basedOn w:val="TableNormal"/>
    <w:uiPriority w:val="41"/>
    <w:rsid w:val="00263D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pE2tFfyS4vl73pY61twnH2jfQ==">CgMxLjA4AHIhMXJOeW1OVWhCUDRfd3V3bXJFdWVfVFVjSUkzRV9SdGlH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1513</Words>
  <Characters>8627</Characters>
  <Application>Microsoft Office Word</Application>
  <DocSecurity>0</DocSecurity>
  <Lines>71</Lines>
  <Paragraphs>20</Paragraphs>
  <ScaleCrop>false</ScaleCrop>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Sonar</dc:creator>
  <cp:lastModifiedBy>Raunak Singh</cp:lastModifiedBy>
  <cp:revision>2</cp:revision>
  <dcterms:created xsi:type="dcterms:W3CDTF">2026-08-09T05:51:00Z</dcterms:created>
  <dcterms:modified xsi:type="dcterms:W3CDTF">2026-08-09T05:51:00Z</dcterms:modified>
</cp:coreProperties>
</file>