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Perovskite Solar Cells: Stability Challenges and Commercial Viability</w:t>
      </w:r>
    </w:p>
    <w:p>
      <w:pPr>
        <w:jc w:val="center"/>
      </w:pPr>
    </w:p>
    <w:p>
      <w:pPr>
        <w:jc w:val="center"/>
      </w:pPr>
    </w:p>
    <w:p>
      <w:pPr>
        <w:jc w:val="center"/>
      </w:pPr>
    </w:p>
    <w:p>
      <w:r>
        <w:br w:type="page"/>
      </w:r>
    </w:p>
    <w:p>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 xml:space="preserve">TABLE OF CONTENT</w:t>
      </w:r>
    </w:p>
    <w:tbl>
      <w:tblPr>
        <w:tblStyle w:val="a0"/>
        <w:tblW w:w="8677" w:type="dxa"/>
        <w:jc w:val="center"/>
        <w:tblLayout w:type="fixed"/>
        <w:tblLook w:val="0400" w:firstRow="0" w:lastRow="0" w:firstColumn="0" w:lastColumn="0" w:noHBand="0" w:noVBand="1"/>
      </w:tblPr>
      <w:tblGrid>
        <w:gridCol w:w="2883"/>
        <w:gridCol w:w="2910"/>
        <w:gridCol w:w="2884"/>
      </w:tblGrid>
      <w:tr>
        <w:trPr>
          <w:trHeight w:val="942"/>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SR. NO.</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PAGE NO.</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THEORETICAL BACKGROUND</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w:t>
            </w:r>
          </w:p>
        </w:tc>
      </w:tr>
    </w:tbl>
    <w:p>
      <w:r>
        <w:br w:type="page"/>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 Abstract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Perovskite solar cells have achieved remarkable power conversion efficiencies of up to 25.8%, yet their commercial viability remains severely constrained by inadequate stability under operational conditions. Despite significant advances in device performance, the fundamental instability issues associated with perovskite materials continue to pose major obstacles to large-scale deployment. The intrinsic chemical and structural vulnerabilities of perovskite compounds, particularly their susceptibility to moisture, oxygen, and thermal stress, have been well documented in recent literature (Li et al., 2020; He et al., 2020). These stability challenges manifest as rapid degradation of photovoltaic performance within hours or days under ambient conditions, with most devices losing more than 20% of their initial efficiency within the first few hundred hours of operation. This fundamental limitation directly contradicts the established reliability standards required for commercial solar technologies, where typical operational lifespans exceed 25 years and sustained performance retention is expected over extended periods (Zhou et al., 2014; Akin et al., 2019). The critical importance of addressing stability issues becomes evident when considering that even high-efficiency devices (PCE &gt; 20%) typically fail to maintain their performance beyond 1000 hours under standard testing conditions, highlighting the urgent need for comprehensive structural modifications and material innovations.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instability mechanisms in perovskite solar cells operate through multiple concurrent degradation pathways that affect different device components simultaneously. Moisture ingress represents one of the most significant degradation factors, as water molecules readily penetrate through encapsulation layers and react with perovskite materials, leading to phase transformation from the stable α-phase to less stable δ-phase or complete decomposition into lead iodide (Li et al., 2016; Bass et al., 2014). Thermal stress exacerbates these issues by promoting ion migration within the perovskite lattice, creating defects that act as recombination centers and reduce charge carrier mobility. Additionally, photo-induced degradation from UV light exposure generates reactive oxygen species that accelerate the decomposition of organic components in the hole transport layer (Bryant et al., 2016; Saliba et al., 2016). The interplay between these multiple degradation mechanisms creates a complex stability landscape where individual interventions may address one pathway but fail to resolve others, necessitating systematic approaches that target multiple instability factors simultaneously. Furthermore, the interaction between different device layers compounds these challenges, as defects at interfaces between perovskite and transport layers propagate through the entire device architecture, making single-component solutions insufficient for achieving long-term stability.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Recent research has demonstrated that structural modifications offer promising pathways to enhance perovskite solar cell stability while maintaining high efficiency performance. The evolution from conventional n-i-p architectures to inverted p-i-n configurations has shown significant improvements in operational longevity, with some devices retaining over 80% of their initial PCE after 1000 hours of continuous operation under ambient conditions (Chen et al., 2018; Min et al., 2021). The implementation of HTL-free and ETL-free device architectures represents another major advancement, with reported efficiencies exceeding 20% and stability retention over 1000 hours in some cases (Zhou et al., 2022; Snaith et al., 2013). These developments have been particularly significant as they simplify fabrication processes while reducing costs associated with multiple layer deposition and potentially eliminating the need for expensive inert atmosphere processing environments. The strategic use of alternative materials, including inorganic hole transport layers such as NiOx and CuSCN, has demonstrated enhanced thermal and moisture stability compared to traditional organic materials like spiro-OMeTAD (Song et al., 2021; Chen et al., 2019). These material substitutions have proven effective in extending device lifespans by several orders of magnitude, although they often require careful optimization of processing conditions to achieve optimal performance.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integration of advanced fabrication techniques and materials engineering has yielded substantial improvements in perovskite solar cell stability without compromising efficiency. Sequential deposition methods combined with precise humidity control during processing have enabled the fabrication of perovskite films with enhanced crystallinity and reduced defect densities, contributing to improved long-term stability (Zhou et al., 2014; Kim et al., 2012). The adoption of hybrid chemical vapor deposition techniques has also shown promise in producing high-quality perovskite layers with better morphological control and reduced grain boundary defects that typically serve as degradation initiation sites (Luo et al., 2015; Xiao et al., 2014). Furthermore, the implementation of optimized encapsulation strategies, including the use of barrier films with low water vapor transmission rates and improved sealing techniques, has extended device lifespans from hours to thousands of hours under standard conditions. These combined approaches demonstrate that systematic improvements in fabrication protocols can effectively address stability challenges while maintaining competitive power conversion efficiencies, suggesting that commercial viability may be achievable through continued optimization of these integrated strategies rather than relying solely on fundamental material modifications.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Comparison of recent advances in perovskite solar cell stability through structural modifications and material engineering approaches.</w:t>
      </w:r>
    </w:p>
    <w:tbl>
      <w:tblPr>
        <w:tblW w:type="auto" w:w="0"/>
        <w:tblLook w:val="04A0" w:firstRow="1" w:firstColumn="1" w:lastRow="0" w:lastColumn="0" w:noHBand="0" w:noVBand="1"/>
      </w:tblPr>
      <w:tblGrid>
        <w:gridCol w:w="1805"/>
        <w:gridCol w:w="1805"/>
        <w:gridCol w:w="1805"/>
        <w:gridCol w:w="1805"/>
        <w:gridCol w:w="1806"/>
      </w:tblGrid>
      <w:tr>
        <w:tc>
          <w:tcPr>
            <w:tcW w:w="1805" w:type="dxa"/>
          </w:tcPr>
          <w:p>
            <w:r>
              <w:rPr>
                <w:rFonts w:ascii="Times New Roman" w:hAnsi="Times New Roman"/>
                <w:b/>
                <w:sz w:val="24"/>
              </w:rPr>
              <w:t xml:space="preserve">Device Structure</w:t>
            </w:r>
          </w:p>
        </w:tc>
        <w:tc>
          <w:tcPr>
            <w:tcW w:w="1805" w:type="dxa"/>
          </w:tcPr>
          <w:p>
            <w:r>
              <w:rPr>
                <w:rFonts w:ascii="Times New Roman" w:hAnsi="Times New Roman"/>
                <w:b/>
                <w:sz w:val="24"/>
              </w:rPr>
              <w:t xml:space="preserve">PCE (%)</w:t>
            </w:r>
          </w:p>
        </w:tc>
        <w:tc>
          <w:tcPr>
            <w:tcW w:w="1805" w:type="dxa"/>
          </w:tcPr>
          <w:p>
            <w:r>
              <w:rPr>
                <w:rFonts w:ascii="Times New Roman" w:hAnsi="Times New Roman"/>
                <w:b/>
                <w:sz w:val="24"/>
              </w:rPr>
              <w:t xml:space="preserve">Stability (Hours)</w:t>
            </w:r>
          </w:p>
        </w:tc>
        <w:tc>
          <w:tcPr>
            <w:tcW w:w="1805" w:type="dxa"/>
          </w:tcPr>
          <w:p>
            <w:r>
              <w:rPr>
                <w:rFonts w:ascii="Times New Roman" w:hAnsi="Times New Roman"/>
                <w:b/>
                <w:sz w:val="24"/>
              </w:rPr>
              <w:t xml:space="preserve">Efficiency Retention (%)</w:t>
            </w:r>
          </w:p>
        </w:tc>
        <w:tc>
          <w:tcPr>
            <w:tcW w:w="1806" w:type="dxa"/>
          </w:tcPr>
          <w:p>
            <w:r>
              <w:rPr>
                <w:rFonts w:ascii="Times New Roman" w:hAnsi="Times New Roman"/>
                <w:b/>
                <w:sz w:val="24"/>
              </w:rPr>
              <w:t xml:space="preserve">Key Stability Improvements</w:t>
            </w:r>
          </w:p>
        </w:tc>
      </w:tr>
      <w:tr>
        <w:tc>
          <w:tcPr>
            <w:tcW w:w="1805" w:type="dxa"/>
          </w:tcPr>
          <w:p>
            <w:r>
              <w:rPr>
                <w:rFonts w:ascii="Times New Roman" w:hAnsi="Times New Roman"/>
                <w:b w:val="0"/>
                <w:sz w:val="24"/>
              </w:rPr>
              <w:t xml:space="preserve">Conventional n-i-p with spiro-OMeTAD HTL</w:t>
            </w:r>
          </w:p>
        </w:tc>
        <w:tc>
          <w:tcPr>
            <w:tcW w:w="1805" w:type="dxa"/>
          </w:tcPr>
          <w:p>
            <w:r>
              <w:rPr>
                <w:rFonts w:ascii="Times New Roman" w:hAnsi="Times New Roman"/>
                <w:b w:val="0"/>
                <w:sz w:val="24"/>
              </w:rPr>
              <w:t xml:space="preserve">19.1</w:t>
            </w:r>
          </w:p>
        </w:tc>
        <w:tc>
          <w:tcPr>
            <w:tcW w:w="1805" w:type="dxa"/>
          </w:tcPr>
          <w:p>
            <w:r>
              <w:rPr>
                <w:rFonts w:ascii="Times New Roman" w:hAnsi="Times New Roman"/>
                <w:b w:val="0"/>
                <w:sz w:val="24"/>
              </w:rPr>
              <w:t xml:space="preserve">300</w:t>
            </w:r>
          </w:p>
        </w:tc>
        <w:tc>
          <w:tcPr>
            <w:tcW w:w="1805" w:type="dxa"/>
          </w:tcPr>
          <w:p>
            <w:r>
              <w:rPr>
                <w:rFonts w:ascii="Times New Roman" w:hAnsi="Times New Roman"/>
                <w:b w:val="0"/>
                <w:sz w:val="24"/>
              </w:rPr>
              <w:t xml:space="preserve">&lt;80</w:t>
            </w:r>
          </w:p>
        </w:tc>
        <w:tc>
          <w:tcPr>
            <w:tcW w:w="1806" w:type="dxa"/>
          </w:tcPr>
          <w:p>
            <w:r>
              <w:rPr>
                <w:rFonts w:ascii="Times New Roman" w:hAnsi="Times New Roman"/>
                <w:b w:val="0"/>
                <w:sz w:val="24"/>
              </w:rPr>
              <w:t xml:space="preserve">Use of cesium-containing perovskites</w:t>
            </w:r>
          </w:p>
        </w:tc>
      </w:tr>
      <w:tr>
        <w:tc>
          <w:tcPr>
            <w:tcW w:w="1805" w:type="dxa"/>
          </w:tcPr>
          <w:p>
            <w:r>
              <w:rPr>
                <w:rFonts w:ascii="Times New Roman" w:hAnsi="Times New Roman"/>
                <w:b w:val="0"/>
                <w:sz w:val="24"/>
              </w:rPr>
              <w:t xml:space="preserve">Inverted p-i-n with NiOx HTL</w:t>
            </w:r>
          </w:p>
        </w:tc>
        <w:tc>
          <w:tcPr>
            <w:tcW w:w="1805" w:type="dxa"/>
          </w:tcPr>
          <w:p>
            <w:r>
              <w:rPr>
                <w:rFonts w:ascii="Times New Roman" w:hAnsi="Times New Roman"/>
                <w:b w:val="0"/>
                <w:sz w:val="24"/>
              </w:rPr>
              <w:t xml:space="preserve">21.66</w:t>
            </w:r>
          </w:p>
        </w:tc>
        <w:tc>
          <w:tcPr>
            <w:tcW w:w="1805" w:type="dxa"/>
          </w:tcPr>
          <w:p>
            <w:r>
              <w:rPr>
                <w:rFonts w:ascii="Times New Roman" w:hAnsi="Times New Roman"/>
                <w:b w:val="0"/>
                <w:sz w:val="24"/>
              </w:rPr>
              <w:t xml:space="preserve">1200</w:t>
            </w:r>
          </w:p>
        </w:tc>
        <w:tc>
          <w:tcPr>
            <w:tcW w:w="1805" w:type="dxa"/>
          </w:tcPr>
          <w:p>
            <w:r>
              <w:rPr>
                <w:rFonts w:ascii="Times New Roman" w:hAnsi="Times New Roman"/>
                <w:b w:val="0"/>
                <w:sz w:val="24"/>
              </w:rPr>
              <w:t xml:space="preserve">90</w:t>
            </w:r>
          </w:p>
        </w:tc>
        <w:tc>
          <w:tcPr>
            <w:tcW w:w="1806" w:type="dxa"/>
          </w:tcPr>
          <w:p>
            <w:r>
              <w:rPr>
                <w:rFonts w:ascii="Times New Roman" w:hAnsi="Times New Roman"/>
                <w:b w:val="0"/>
                <w:sz w:val="24"/>
              </w:rPr>
              <w:t xml:space="preserve">Alkali chloride interface modification</w:t>
            </w:r>
          </w:p>
        </w:tc>
      </w:tr>
      <w:tr>
        <w:tc>
          <w:tcPr>
            <w:tcW w:w="1805" w:type="dxa"/>
          </w:tcPr>
          <w:p>
            <w:r>
              <w:rPr>
                <w:rFonts w:ascii="Times New Roman" w:hAnsi="Times New Roman"/>
                <w:b w:val="0"/>
                <w:sz w:val="24"/>
              </w:rPr>
              <w:t xml:space="preserve">HTL-free with Cu(Tu)Cl doping</w:t>
            </w:r>
          </w:p>
        </w:tc>
        <w:tc>
          <w:tcPr>
            <w:tcW w:w="1805" w:type="dxa"/>
          </w:tcPr>
          <w:p>
            <w:r>
              <w:rPr>
                <w:rFonts w:ascii="Times New Roman" w:hAnsi="Times New Roman"/>
                <w:b w:val="0"/>
                <w:sz w:val="24"/>
              </w:rPr>
              <w:t xml:space="preserve">22.0</w:t>
            </w:r>
          </w:p>
        </w:tc>
        <w:tc>
          <w:tcPr>
            <w:tcW w:w="1805" w:type="dxa"/>
          </w:tcPr>
          <w:p>
            <w:r>
              <w:rPr>
                <w:rFonts w:ascii="Times New Roman" w:hAnsi="Times New Roman"/>
                <w:b w:val="0"/>
                <w:sz w:val="24"/>
              </w:rPr>
              <w:t xml:space="preserve">1000</w:t>
            </w:r>
          </w:p>
        </w:tc>
        <w:tc>
          <w:tcPr>
            <w:tcW w:w="1805" w:type="dxa"/>
          </w:tcPr>
          <w:p>
            <w:r>
              <w:rPr>
                <w:rFonts w:ascii="Times New Roman" w:hAnsi="Times New Roman"/>
                <w:b w:val="0"/>
                <w:sz w:val="24"/>
              </w:rPr>
              <w:t xml:space="preserve">90</w:t>
            </w:r>
          </w:p>
        </w:tc>
        <w:tc>
          <w:tcPr>
            <w:tcW w:w="1806" w:type="dxa"/>
          </w:tcPr>
          <w:p>
            <w:r>
              <w:rPr>
                <w:rFonts w:ascii="Times New Roman" w:hAnsi="Times New Roman"/>
                <w:b w:val="0"/>
                <w:sz w:val="24"/>
              </w:rPr>
              <w:t xml:space="preserve">Synergistic doping strategy</w:t>
            </w:r>
          </w:p>
        </w:tc>
      </w:tr>
      <w:tr>
        <w:tc>
          <w:tcPr>
            <w:tcW w:w="1805" w:type="dxa"/>
          </w:tcPr>
          <w:p>
            <w:r>
              <w:rPr>
                <w:rFonts w:ascii="Times New Roman" w:hAnsi="Times New Roman"/>
                <w:b w:val="0"/>
                <w:sz w:val="24"/>
              </w:rPr>
              <w:t xml:space="preserve">ETL-free with BCP layer</w:t>
            </w:r>
          </w:p>
        </w:tc>
        <w:tc>
          <w:tcPr>
            <w:tcW w:w="1805" w:type="dxa"/>
          </w:tcPr>
          <w:p>
            <w:r>
              <w:rPr>
                <w:rFonts w:ascii="Times New Roman" w:hAnsi="Times New Roman"/>
                <w:b w:val="0"/>
                <w:sz w:val="24"/>
              </w:rPr>
              <w:t xml:space="preserve">19.07</w:t>
            </w:r>
          </w:p>
        </w:tc>
        <w:tc>
          <w:tcPr>
            <w:tcW w:w="1805" w:type="dxa"/>
          </w:tcPr>
          <w:p>
            <w:r>
              <w:rPr>
                <w:rFonts w:ascii="Times New Roman" w:hAnsi="Times New Roman"/>
                <w:b w:val="0"/>
                <w:sz w:val="24"/>
              </w:rPr>
              <w:t xml:space="preserve">500</w:t>
            </w:r>
          </w:p>
        </w:tc>
        <w:tc>
          <w:tcPr>
            <w:tcW w:w="1805" w:type="dxa"/>
          </w:tcPr>
          <w:p>
            <w:r>
              <w:rPr>
                <w:rFonts w:ascii="Times New Roman" w:hAnsi="Times New Roman"/>
                <w:b w:val="0"/>
                <w:sz w:val="24"/>
              </w:rPr>
              <w:t xml:space="preserve">92</w:t>
            </w:r>
          </w:p>
        </w:tc>
        <w:tc>
          <w:tcPr>
            <w:tcW w:w="1806" w:type="dxa"/>
          </w:tcPr>
          <w:p>
            <w:r>
              <w:rPr>
                <w:rFonts w:ascii="Times New Roman" w:hAnsi="Times New Roman"/>
                <w:b w:val="0"/>
                <w:sz w:val="24"/>
              </w:rPr>
              <w:t xml:space="preserve">Homojunction engineering</w:t>
            </w:r>
          </w:p>
        </w:tc>
      </w:tr>
      <w:tr>
        <w:tc>
          <w:tcPr>
            <w:tcW w:w="1805" w:type="dxa"/>
          </w:tcPr>
          <w:p>
            <w:r>
              <w:rPr>
                <w:rFonts w:ascii="Times New Roman" w:hAnsi="Times New Roman"/>
                <w:b w:val="0"/>
                <w:sz w:val="24"/>
              </w:rPr>
              <w:t xml:space="preserve">Tandem perovskite/Si with 3T configuration</w:t>
            </w:r>
          </w:p>
        </w:tc>
        <w:tc>
          <w:tcPr>
            <w:tcW w:w="1805" w:type="dxa"/>
          </w:tcPr>
          <w:p>
            <w:r>
              <w:rPr>
                <w:rFonts w:ascii="Times New Roman" w:hAnsi="Times New Roman"/>
                <w:b w:val="0"/>
                <w:sz w:val="24"/>
              </w:rPr>
              <w:t xml:space="preserve">27.6</w:t>
            </w:r>
          </w:p>
        </w:tc>
        <w:tc>
          <w:tcPr>
            <w:tcW w:w="1805" w:type="dxa"/>
          </w:tcPr>
          <w:p>
            <w:r>
              <w:rPr>
                <w:rFonts w:ascii="Times New Roman" w:hAnsi="Times New Roman"/>
                <w:b w:val="0"/>
                <w:sz w:val="24"/>
              </w:rPr>
              <w:t xml:space="preserve">Unknown</w:t>
            </w:r>
          </w:p>
        </w:tc>
        <w:tc>
          <w:tcPr>
            <w:tcW w:w="1805" w:type="dxa"/>
          </w:tcPr>
          <w:p>
            <w:r>
              <w:rPr>
                <w:rFonts w:ascii="Times New Roman" w:hAnsi="Times New Roman"/>
                <w:b w:val="0"/>
                <w:sz w:val="24"/>
              </w:rPr>
              <w:t xml:space="preserve">&gt;80</w:t>
            </w:r>
          </w:p>
        </w:tc>
        <w:tc>
          <w:tcPr>
            <w:tcW w:w="1806" w:type="dxa"/>
          </w:tcPr>
          <w:p>
            <w:r>
              <w:rPr>
                <w:rFonts w:ascii="Times New Roman" w:hAnsi="Times New Roman"/>
                <w:b w:val="0"/>
                <w:sz w:val="24"/>
              </w:rPr>
              <w:t xml:space="preserve">Optimized interconnection layers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2. Introduction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Perovskite solar cells represent a revolutionary advancement in renewable energy technology, demonstrating remarkable power conversion efficiency gains from 3.8% in 2009 to 25.8% by 2021, surpassing established commercial photovoltaic technologies such as silicon, cadmium telluride, and gallium arsenide-based cells. This exponential efficiency improvement within a decade positions perovskite technology as one of the most promising candidates for future solar energy applications, with research indicating that these devices can achieve performance levels exceeding 30% under optimal conditions (Li et al., 2016; Zhou et al., 2014). The rapid advancement in efficiency metrics directly correlates with fundamental improvements in material composition, device architecture, and fabrication techniques, establishing perovskite solar cells as a technology with immense commercial potential despite current stability limitations that hinder widespread adoption. The substantial performance enhancement from laboratory prototypes to commercially viable devices demonstrates the robustness of the underlying scientific principles and the effectiveness of continued research investment in this field.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fundamental advantages of perovskite solar cells extend beyond their impressive efficiency gains, encompassing superior optoelectronic properties including direct bandgap characteristics, broad spectral absorption capabilities, high defect tolerance, and extended charge carrier diffusion lengths exceeding micrometer ranges (Miyasaka et al., 2009; Liu et al., 2015). These intrinsic material properties enable perovskite cells to maintain high performance across diverse environmental conditions while offering manufacturing simplicity compared to traditional silicon-based solar cells. The unique crystal structure of perovskites, characterized by the ABX3 composition where A represents organic cations such as methylammonium or formamidinium, B denotes lead or tin cations, and X signifies halide anions like iodine, bromine, or chlorine, provides tunable electronic properties that can be optimized for specific applications (Kojima et al., 2009). These characteristics collectively establish perovskite solar cells as a transformative technology that could fundamentally alter the landscape of renewable energy generation by offering both exceptional performance and potentially reduced manufacturing costs compared to conventional photovoltaic technologies.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Despite achieving laboratory efficiencies approaching 26%, perovskite solar cells face critical stability challenges that prevent commercial viability, with current devices typically degrading within hours or days under standard atmospheric conditions (Li et al., 2020; He et al., 2020). The instability issues arise primarily from the weak intermolecular forces present in perovskite materials, including van der Waals interactions and hydrogen bonding that make these compounds susceptible to environmental degradation through moisture ingress, thermal stress, and light exposure (Bass et al., 2014; Philippe et al., 2015). The degradation mechanisms are multifactorial, involving both intrinsic material instability and extrinsic factors related to device sealing and interface engineering, where the combination of organic-inorganic hybrid structures creates pathways for moisture penetration and ion migration that ultimately compromise device performance (Edri et al., 2014; Bryant et al., 2016). These stability concerns represent the primary barrier to commercial deployment, as energy storage systems and manufacturing processes require long-term reliability that current perovskite devices cannot consistently provide.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economic feasibility of perovskite solar cells presents a compelling case for continued development despite current instability challenges, with material costs estimated at approximately $2 per cubic meter for lead iodide absorber layers compared to significantly higher costs for silicon-based technologies (Bhandari et al., 2019; Zhang et al., 2018). The cost advantages of perovskite materials are compounded by their potential for low-temperature processing and simplified fabrication techniques that could reduce manufacturing expenses by up to 30% compared to conventional solar cell production methods (Kung et al., 2018; Chen et al., 2018). However, the current gap between laboratory performance and commercial viability requires substantial research investment to address stability issues while maintaining cost competitiveness. The development of standardized testing protocols for evaluating perovskite device stability is crucial for establishing market confidence and enabling accurate comparison between different materials and fabrication approaches, as the lack of consistent testing conditions has historically hindered progress in demonstrating reliable long-term performance characteristics (Li et al., 2020; Akin, 2019).</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Historical Development of Perovskite Solar Cell Efficiency and Stability Improvements</w:t>
      </w:r>
    </w:p>
    <w:tbl>
      <w:tblPr>
        <w:tblW w:type="auto" w:w="0"/>
        <w:tblLook w:val="04A0" w:firstRow="1" w:firstColumn="1" w:lastRow="0" w:lastColumn="0" w:noHBand="0" w:noVBand="1"/>
      </w:tblPr>
      <w:tblGrid>
        <w:gridCol w:w="1805"/>
        <w:gridCol w:w="1805"/>
        <w:gridCol w:w="1805"/>
        <w:gridCol w:w="1805"/>
        <w:gridCol w:w="1806"/>
      </w:tblGrid>
      <w:tr>
        <w:tc>
          <w:tcPr>
            <w:tcW w:w="1805" w:type="dxa"/>
          </w:tcPr>
          <w:p>
            <w:r>
              <w:rPr>
                <w:rFonts w:ascii="Times New Roman" w:hAnsi="Times New Roman"/>
                <w:b/>
                <w:sz w:val="24"/>
              </w:rPr>
              <w:t xml:space="preserve">Year</w:t>
            </w:r>
          </w:p>
        </w:tc>
        <w:tc>
          <w:tcPr>
            <w:tcW w:w="1805" w:type="dxa"/>
          </w:tcPr>
          <w:p>
            <w:r>
              <w:rPr>
                <w:rFonts w:ascii="Times New Roman" w:hAnsi="Times New Roman"/>
                <w:b/>
                <w:sz w:val="24"/>
              </w:rPr>
              <w:t xml:space="preserve">Efficiency (%)</w:t>
            </w:r>
          </w:p>
        </w:tc>
        <w:tc>
          <w:tcPr>
            <w:tcW w:w="1805" w:type="dxa"/>
          </w:tcPr>
          <w:p>
            <w:r>
              <w:rPr>
                <w:rFonts w:ascii="Times New Roman" w:hAnsi="Times New Roman"/>
                <w:b/>
                <w:sz w:val="24"/>
              </w:rPr>
              <w:t xml:space="preserve">Device Structure</w:t>
            </w:r>
          </w:p>
        </w:tc>
        <w:tc>
          <w:tcPr>
            <w:tcW w:w="1805" w:type="dxa"/>
          </w:tcPr>
          <w:p>
            <w:r>
              <w:rPr>
                <w:rFonts w:ascii="Times New Roman" w:hAnsi="Times New Roman"/>
                <w:b/>
                <w:sz w:val="24"/>
              </w:rPr>
              <w:t xml:space="preserve">Key Innovation</w:t>
            </w:r>
          </w:p>
        </w:tc>
        <w:tc>
          <w:tcPr>
            <w:tcW w:w="1806" w:type="dxa"/>
          </w:tcPr>
          <w:p>
            <w:r>
              <w:rPr>
                <w:rFonts w:ascii="Times New Roman" w:hAnsi="Times New Roman"/>
                <w:b/>
                <w:sz w:val="24"/>
              </w:rPr>
              <w:t xml:space="preserve">Stability Notes</w:t>
            </w:r>
          </w:p>
        </w:tc>
      </w:tr>
      <w:tr>
        <w:tc>
          <w:tcPr>
            <w:tcW w:w="1805" w:type="dxa"/>
          </w:tcPr>
          <w:p>
            <w:r>
              <w:rPr>
                <w:rFonts w:ascii="Times New Roman" w:hAnsi="Times New Roman"/>
                <w:b w:val="0"/>
                <w:sz w:val="24"/>
              </w:rPr>
              <w:t xml:space="preserve">2009</w:t>
            </w:r>
          </w:p>
        </w:tc>
        <w:tc>
          <w:tcPr>
            <w:tcW w:w="1805" w:type="dxa"/>
          </w:tcPr>
          <w:p>
            <w:r>
              <w:rPr>
                <w:rFonts w:ascii="Times New Roman" w:hAnsi="Times New Roman"/>
                <w:b w:val="0"/>
                <w:sz w:val="24"/>
              </w:rPr>
              <w:t xml:space="preserve">3.8</w:t>
            </w:r>
          </w:p>
        </w:tc>
        <w:tc>
          <w:tcPr>
            <w:tcW w:w="1805" w:type="dxa"/>
          </w:tcPr>
          <w:p>
            <w:r>
              <w:rPr>
                <w:rFonts w:ascii="Times New Roman" w:hAnsi="Times New Roman"/>
                <w:b w:val="0"/>
                <w:sz w:val="24"/>
              </w:rPr>
              <w:t xml:space="preserve">Mesoporous n-i-p</w:t>
            </w:r>
          </w:p>
        </w:tc>
        <w:tc>
          <w:tcPr>
            <w:tcW w:w="1805" w:type="dxa"/>
          </w:tcPr>
          <w:p>
            <w:r>
              <w:rPr>
                <w:rFonts w:ascii="Times New Roman" w:hAnsi="Times New Roman"/>
                <w:b w:val="0"/>
                <w:sz w:val="24"/>
              </w:rPr>
              <w:t xml:space="preserve">First perovskite solar cell with liquid electrolyte</w:t>
            </w:r>
          </w:p>
        </w:tc>
        <w:tc>
          <w:tcPr>
            <w:tcW w:w="1806" w:type="dxa"/>
          </w:tcPr>
          <w:p>
            <w:r>
              <w:rPr>
                <w:rFonts w:ascii="Times New Roman" w:hAnsi="Times New Roman"/>
                <w:b w:val="0"/>
                <w:sz w:val="24"/>
              </w:rPr>
              <w:t xml:space="preserve">Deteriorated within hour</w:t>
            </w:r>
          </w:p>
        </w:tc>
      </w:tr>
      <w:tr>
        <w:tc>
          <w:tcPr>
            <w:tcW w:w="1805" w:type="dxa"/>
          </w:tcPr>
          <w:p>
            <w:r>
              <w:rPr>
                <w:rFonts w:ascii="Times New Roman" w:hAnsi="Times New Roman"/>
                <w:b w:val="0"/>
                <w:sz w:val="24"/>
              </w:rPr>
              <w:t xml:space="preserve">2012</w:t>
            </w:r>
          </w:p>
        </w:tc>
        <w:tc>
          <w:tcPr>
            <w:tcW w:w="1805" w:type="dxa"/>
          </w:tcPr>
          <w:p>
            <w:r>
              <w:rPr>
                <w:rFonts w:ascii="Times New Roman" w:hAnsi="Times New Roman"/>
                <w:b w:val="0"/>
                <w:sz w:val="24"/>
              </w:rPr>
              <w:t xml:space="preserve">9.7</w:t>
            </w:r>
          </w:p>
        </w:tc>
        <w:tc>
          <w:tcPr>
            <w:tcW w:w="1805" w:type="dxa"/>
          </w:tcPr>
          <w:p>
            <w:r>
              <w:rPr>
                <w:rFonts w:ascii="Times New Roman" w:hAnsi="Times New Roman"/>
                <w:b w:val="0"/>
                <w:sz w:val="24"/>
              </w:rPr>
              <w:t xml:space="preserve">Inverted p-i-n</w:t>
            </w:r>
          </w:p>
        </w:tc>
        <w:tc>
          <w:tcPr>
            <w:tcW w:w="1805" w:type="dxa"/>
          </w:tcPr>
          <w:p>
            <w:r>
              <w:rPr>
                <w:rFonts w:ascii="Times New Roman" w:hAnsi="Times New Roman"/>
                <w:b w:val="0"/>
                <w:sz w:val="24"/>
              </w:rPr>
              <w:t xml:space="preserve">Solid state HTL using spiro-OMeTAD</w:t>
            </w:r>
          </w:p>
        </w:tc>
        <w:tc>
          <w:tcPr>
            <w:tcW w:w="1806" w:type="dxa"/>
          </w:tcPr>
          <w:p>
            <w:r>
              <w:rPr>
                <w:rFonts w:ascii="Times New Roman" w:hAnsi="Times New Roman"/>
                <w:b w:val="0"/>
                <w:sz w:val="24"/>
              </w:rPr>
              <w:t xml:space="preserve">Stable for 500 hours at room temperature</w:t>
            </w:r>
          </w:p>
        </w:tc>
      </w:tr>
      <w:tr>
        <w:tc>
          <w:tcPr>
            <w:tcW w:w="1805" w:type="dxa"/>
          </w:tcPr>
          <w:p>
            <w:r>
              <w:rPr>
                <w:rFonts w:ascii="Times New Roman" w:hAnsi="Times New Roman"/>
                <w:b w:val="0"/>
                <w:sz w:val="24"/>
              </w:rPr>
              <w:t xml:space="preserve">2014</w:t>
            </w:r>
          </w:p>
        </w:tc>
        <w:tc>
          <w:tcPr>
            <w:tcW w:w="1805" w:type="dxa"/>
          </w:tcPr>
          <w:p>
            <w:r>
              <w:rPr>
                <w:rFonts w:ascii="Times New Roman" w:hAnsi="Times New Roman"/>
                <w:b w:val="0"/>
                <w:sz w:val="24"/>
              </w:rPr>
              <w:t xml:space="preserve">12.3</w:t>
            </w:r>
          </w:p>
        </w:tc>
        <w:tc>
          <w:tcPr>
            <w:tcW w:w="1805" w:type="dxa"/>
          </w:tcPr>
          <w:p>
            <w:r>
              <w:rPr>
                <w:rFonts w:ascii="Times New Roman" w:hAnsi="Times New Roman"/>
                <w:b w:val="0"/>
                <w:sz w:val="24"/>
              </w:rPr>
              <w:t xml:space="preserve">Planar p-i-n</w:t>
            </w:r>
          </w:p>
        </w:tc>
        <w:tc>
          <w:tcPr>
            <w:tcW w:w="1805" w:type="dxa"/>
          </w:tcPr>
          <w:p>
            <w:r>
              <w:rPr>
                <w:rFonts w:ascii="Times New Roman" w:hAnsi="Times New Roman"/>
                <w:b w:val="0"/>
                <w:sz w:val="24"/>
              </w:rPr>
              <w:t xml:space="preserve">Mixed halide perovskite CH3NH3PbI3-xClx</w:t>
            </w:r>
          </w:p>
        </w:tc>
        <w:tc>
          <w:tcPr>
            <w:tcW w:w="1806" w:type="dxa"/>
          </w:tcPr>
          <w:p>
            <w:r>
              <w:rPr>
                <w:rFonts w:ascii="Times New Roman" w:hAnsi="Times New Roman"/>
                <w:b w:val="0"/>
                <w:sz w:val="24"/>
              </w:rPr>
              <w:t xml:space="preserve">Improved charge transport properties</w:t>
            </w:r>
          </w:p>
        </w:tc>
      </w:tr>
      <w:tr>
        <w:tc>
          <w:tcPr>
            <w:tcW w:w="1805" w:type="dxa"/>
          </w:tcPr>
          <w:p>
            <w:r>
              <w:rPr>
                <w:rFonts w:ascii="Times New Roman" w:hAnsi="Times New Roman"/>
                <w:b w:val="0"/>
                <w:sz w:val="24"/>
              </w:rPr>
              <w:t xml:space="preserve">2018</w:t>
            </w:r>
          </w:p>
        </w:tc>
        <w:tc>
          <w:tcPr>
            <w:tcW w:w="1805" w:type="dxa"/>
          </w:tcPr>
          <w:p>
            <w:r>
              <w:rPr>
                <w:rFonts w:ascii="Times New Roman" w:hAnsi="Times New Roman"/>
                <w:b w:val="0"/>
                <w:sz w:val="24"/>
              </w:rPr>
              <w:t xml:space="preserve">19.3</w:t>
            </w:r>
          </w:p>
        </w:tc>
        <w:tc>
          <w:tcPr>
            <w:tcW w:w="1805" w:type="dxa"/>
          </w:tcPr>
          <w:p>
            <w:r>
              <w:rPr>
                <w:rFonts w:ascii="Times New Roman" w:hAnsi="Times New Roman"/>
                <w:b w:val="0"/>
                <w:sz w:val="24"/>
              </w:rPr>
              <w:t xml:space="preserve">Planar p-i-n</w:t>
            </w:r>
          </w:p>
        </w:tc>
        <w:tc>
          <w:tcPr>
            <w:tcW w:w="1805" w:type="dxa"/>
          </w:tcPr>
          <w:p>
            <w:r>
              <w:rPr>
                <w:rFonts w:ascii="Times New Roman" w:hAnsi="Times New Roman"/>
                <w:b w:val="0"/>
                <w:sz w:val="24"/>
              </w:rPr>
              <w:t xml:space="preserve">Low humidity fabrication (RH 30%)</w:t>
            </w:r>
          </w:p>
        </w:tc>
        <w:tc>
          <w:tcPr>
            <w:tcW w:w="1806" w:type="dxa"/>
          </w:tcPr>
          <w:p>
            <w:r>
              <w:rPr>
                <w:rFonts w:ascii="Times New Roman" w:hAnsi="Times New Roman"/>
                <w:b w:val="0"/>
                <w:sz w:val="24"/>
              </w:rPr>
              <w:t xml:space="preserve">Enhanced crystal formation</w:t>
            </w:r>
          </w:p>
        </w:tc>
      </w:tr>
      <w:tr>
        <w:tc>
          <w:tcPr>
            <w:tcW w:w="1805" w:type="dxa"/>
          </w:tcPr>
          <w:p>
            <w:r>
              <w:rPr>
                <w:rFonts w:ascii="Times New Roman" w:hAnsi="Times New Roman"/>
                <w:b w:val="0"/>
                <w:sz w:val="24"/>
              </w:rPr>
              <w:t xml:space="preserve">2019</w:t>
            </w:r>
          </w:p>
        </w:tc>
        <w:tc>
          <w:tcPr>
            <w:tcW w:w="1805" w:type="dxa"/>
          </w:tcPr>
          <w:p>
            <w:r>
              <w:rPr>
                <w:rFonts w:ascii="Times New Roman" w:hAnsi="Times New Roman"/>
                <w:b w:val="0"/>
                <w:sz w:val="24"/>
              </w:rPr>
              <w:t xml:space="preserve">22.0</w:t>
            </w:r>
          </w:p>
        </w:tc>
        <w:tc>
          <w:tcPr>
            <w:tcW w:w="1805" w:type="dxa"/>
          </w:tcPr>
          <w:p>
            <w:r>
              <w:rPr>
                <w:rFonts w:ascii="Times New Roman" w:hAnsi="Times New Roman"/>
                <w:b w:val="0"/>
                <w:sz w:val="24"/>
              </w:rPr>
              <w:t xml:space="preserve">Inverted p-i-n</w:t>
            </w:r>
          </w:p>
        </w:tc>
        <w:tc>
          <w:tcPr>
            <w:tcW w:w="1805" w:type="dxa"/>
          </w:tcPr>
          <w:p>
            <w:r>
              <w:rPr>
                <w:rFonts w:ascii="Times New Roman" w:hAnsi="Times New Roman"/>
                <w:b w:val="0"/>
                <w:sz w:val="24"/>
              </w:rPr>
              <w:t xml:space="preserve">High efficiency with NiOx HTL</w:t>
            </w:r>
          </w:p>
        </w:tc>
        <w:tc>
          <w:tcPr>
            <w:tcW w:w="1806" w:type="dxa"/>
          </w:tcPr>
          <w:p>
            <w:r>
              <w:rPr>
                <w:rFonts w:ascii="Times New Roman" w:hAnsi="Times New Roman"/>
                <w:b w:val="0"/>
                <w:sz w:val="24"/>
              </w:rPr>
              <w:t xml:space="preserve">Maintained 80% after 300 hours at 85°C</w:t>
            </w:r>
          </w:p>
        </w:tc>
      </w:tr>
      <w:tr>
        <w:tc>
          <w:tcPr>
            <w:tcW w:w="1805" w:type="dxa"/>
          </w:tcPr>
          <w:p>
            <w:r>
              <w:rPr>
                <w:rFonts w:ascii="Times New Roman" w:hAnsi="Times New Roman"/>
                <w:b w:val="0"/>
                <w:sz w:val="24"/>
              </w:rPr>
              <w:t xml:space="preserve">2021</w:t>
            </w:r>
          </w:p>
        </w:tc>
        <w:tc>
          <w:tcPr>
            <w:tcW w:w="1805" w:type="dxa"/>
          </w:tcPr>
          <w:p>
            <w:r>
              <w:rPr>
                <w:rFonts w:ascii="Times New Roman" w:hAnsi="Times New Roman"/>
                <w:b w:val="0"/>
                <w:sz w:val="24"/>
              </w:rPr>
              <w:t xml:space="preserve">25.8</w:t>
            </w:r>
          </w:p>
        </w:tc>
        <w:tc>
          <w:tcPr>
            <w:tcW w:w="1805" w:type="dxa"/>
          </w:tcPr>
          <w:p>
            <w:r>
              <w:rPr>
                <w:rFonts w:ascii="Times New Roman" w:hAnsi="Times New Roman"/>
                <w:b w:val="0"/>
                <w:sz w:val="24"/>
              </w:rPr>
              <w:t xml:space="preserve">Inverted p-i-n</w:t>
            </w:r>
          </w:p>
        </w:tc>
        <w:tc>
          <w:tcPr>
            <w:tcW w:w="1805" w:type="dxa"/>
          </w:tcPr>
          <w:p>
            <w:r>
              <w:rPr>
                <w:rFonts w:ascii="Times New Roman" w:hAnsi="Times New Roman"/>
                <w:b w:val="0"/>
                <w:sz w:val="24"/>
              </w:rPr>
              <w:t xml:space="preserve">Interlayer modification reducing interface defects</w:t>
            </w:r>
          </w:p>
        </w:tc>
        <w:tc>
          <w:tcPr>
            <w:tcW w:w="1806" w:type="dxa"/>
          </w:tcPr>
          <w:p>
            <w:r>
              <w:rPr>
                <w:rFonts w:ascii="Times New Roman" w:hAnsi="Times New Roman"/>
                <w:b w:val="0"/>
                <w:sz w:val="24"/>
              </w:rPr>
              <w:t xml:space="preserve">Retained 90% after 500 hours continuous light exposure</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3. Theoretical Background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Perovskite solar cells exhibit fundamental degradation mechanisms that directly impede commercial viability, with intrinsic instability emerging as the primary concern. The chemical and structural fragility of perovskite materials stems from their organic-inorganic hybrid nature, which relies on weak intermolecular forces such as van der Waals interactions and hydrogen bonds rather than strong covalent or ionic bonds (Li et al., 2016). This inherent weakness manifests in rapid decomposition under environmental stressors, particularly when exposed to moisture, oxygen, and light—conditions that are unavoidable during device operation. The instability is not merely a surface phenomenon but extends into the bulk crystal lattice, where cation migration leads to phase segregation and structural collapse (Bass et al., 2014). Therefore, understanding these intrinsic degradation pathways is essential for developing strategies to enhance long-term operational stability, which remains a critical barrier to commercialization despite significant efficiency gains.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Moisture ingress constitutes a particularly severe degradation mechanism in perovskite solar cells, as water molecules readily penetrate the device structure and catalyze hydrolytic decomposition of the perovskite lattice. Research has demonstrated that even trace amounts of moisture can cause rapid deterioration, with studies showing that devices exposed to 50% relative humidity exhibit a loss of over 50% of their initial efficiency within hours (O'Mahony et al., 2015). The mechanism involves the formation of hydroxyl radicals and subsequent oxidation reactions at the perovskite surface, leading to the breakdown of the methylammonium cation and eventual transformation into lead iodide phases that are optically inactive. This process is exacerbated by the presence of oxygen, which further accelerates the decomposition through redox reactions at defect sites (Zhao &amp; Park, 2015). The combination of these two environmental factors creates a synergistic effect that undermines device performance and longevity.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Oxygen ingress represents another critical degradation pathway in perovskite solar cells, primarily through its role in promoting oxidative decomposition of the organic components within the perovskite structure. Oxygen molecules can penetrate through encapsulation layers or interface materials, where they interact with the methylammonium cation to form reactive species that accelerate lattice breakdown (Bryant et al., 2016). Studies have shown that even minute quantities of oxygen—less than 50 ppm in ambient conditions—can reduce device lifetime by orders of magnitude compared to inert environments. The oxidation process is particularly pronounced at grain boundaries and defect sites, where the local concentration of reactive species increases, leading to localized degradation that spreads throughout the active layer (Saliba et al., 2016). This mechanism highlights the importance of both material selection and sealing strategies in developing robust perovskite devices.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Illumination-induced degradation presents a complex challenge through photochemical processes that can initiate or accelerate structural changes in perovskite materials. Under continuous light exposure, particularly UV radiation, perovskites undergo photodegradation that results in the formation of iodine species such as I₂, which causes characteristic browning and efficiency loss (Zhao &amp; Park, 2015). The mechanism involves photoexcitation of the perovskite lattice followed by energy transfer to the organic cation, leading to its fragmentation and subsequent formation of volatile products that escape from the device. Additionally, illumination can induce thermal effects that promote ion migration and phase transitions within the crystal structure (Philippe et al., 2015). These photochemical pathways are often accelerated by the presence of metal ions or defects, which act as catalysts for the degradation reactions. Therefore, addressing illumination-induced degradation is crucial for achieving long-term stability under real-world operating conditions.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Comparison of Primary Degradation Mechanisms in Perovskite Solar Cells and Their Impact Factors</w:t>
      </w:r>
    </w:p>
    <w:tbl>
      <w:tblPr>
        <w:tblW w:type="auto" w:w="0"/>
        <w:tblLook w:val="04A0" w:firstRow="1" w:firstColumn="1" w:lastRow="0" w:lastColumn="0" w:noHBand="0" w:noVBand="1"/>
      </w:tblPr>
      <w:tblGrid>
        <w:gridCol w:w="2256"/>
        <w:gridCol w:w="2256"/>
        <w:gridCol w:w="2256"/>
        <w:gridCol w:w="2258"/>
      </w:tblGrid>
      <w:tr>
        <w:tc>
          <w:tcPr>
            <w:tcW w:w="2256" w:type="dxa"/>
          </w:tcPr>
          <w:p>
            <w:r>
              <w:rPr>
                <w:rFonts w:ascii="Times New Roman" w:hAnsi="Times New Roman"/>
                <w:b/>
                <w:sz w:val="24"/>
              </w:rPr>
              <w:t xml:space="preserve">Degradation Mechanism</w:t>
            </w:r>
          </w:p>
        </w:tc>
        <w:tc>
          <w:tcPr>
            <w:tcW w:w="2256" w:type="dxa"/>
          </w:tcPr>
          <w:p>
            <w:r>
              <w:rPr>
                <w:rFonts w:ascii="Times New Roman" w:hAnsi="Times New Roman"/>
                <w:b/>
                <w:sz w:val="24"/>
              </w:rPr>
              <w:t xml:space="preserve">Primary Cause</w:t>
            </w:r>
          </w:p>
        </w:tc>
        <w:tc>
          <w:tcPr>
            <w:tcW w:w="2256" w:type="dxa"/>
          </w:tcPr>
          <w:p>
            <w:r>
              <w:rPr>
                <w:rFonts w:ascii="Times New Roman" w:hAnsi="Times New Roman"/>
                <w:b/>
                <w:sz w:val="24"/>
              </w:rPr>
              <w:t xml:space="preserve">Environmental Factor</w:t>
            </w:r>
          </w:p>
        </w:tc>
        <w:tc>
          <w:tcPr>
            <w:tcW w:w="2258" w:type="dxa"/>
          </w:tcPr>
          <w:p>
            <w:r>
              <w:rPr>
                <w:rFonts w:ascii="Times New Roman" w:hAnsi="Times New Roman"/>
                <w:b/>
                <w:sz w:val="24"/>
              </w:rPr>
              <w:t xml:space="preserve">Impact Level</w:t>
            </w:r>
          </w:p>
        </w:tc>
      </w:tr>
      <w:tr>
        <w:tc>
          <w:tcPr>
            <w:tcW w:w="2256" w:type="dxa"/>
          </w:tcPr>
          <w:p>
            <w:r>
              <w:rPr>
                <w:rFonts w:ascii="Times New Roman" w:hAnsi="Times New Roman"/>
                <w:b w:val="0"/>
                <w:sz w:val="24"/>
              </w:rPr>
              <w:t xml:space="preserve">Intrinsic Instability</w:t>
            </w:r>
          </w:p>
        </w:tc>
        <w:tc>
          <w:tcPr>
            <w:tcW w:w="2256" w:type="dxa"/>
          </w:tcPr>
          <w:p>
            <w:r>
              <w:rPr>
                <w:rFonts w:ascii="Times New Roman" w:hAnsi="Times New Roman"/>
                <w:b w:val="0"/>
                <w:sz w:val="24"/>
              </w:rPr>
              <w:t xml:space="preserve">Weak intermolecular forces</w:t>
            </w:r>
          </w:p>
        </w:tc>
        <w:tc>
          <w:tcPr>
            <w:tcW w:w="2256" w:type="dxa"/>
          </w:tcPr>
          <w:p>
            <w:r>
              <w:rPr>
                <w:rFonts w:ascii="Times New Roman" w:hAnsi="Times New Roman"/>
                <w:b w:val="0"/>
                <w:sz w:val="24"/>
              </w:rPr>
              <w:t xml:space="preserve">None</w:t>
            </w:r>
          </w:p>
        </w:tc>
        <w:tc>
          <w:tcPr>
            <w:tcW w:w="2258" w:type="dxa"/>
          </w:tcPr>
          <w:p>
            <w:r>
              <w:rPr>
                <w:rFonts w:ascii="Times New Roman" w:hAnsi="Times New Roman"/>
                <w:b w:val="0"/>
                <w:sz w:val="24"/>
              </w:rPr>
              <w:t xml:space="preserve">High</w:t>
            </w:r>
          </w:p>
        </w:tc>
      </w:tr>
      <w:tr>
        <w:tc>
          <w:tcPr>
            <w:tcW w:w="2256" w:type="dxa"/>
          </w:tcPr>
          <w:p>
            <w:r>
              <w:rPr>
                <w:rFonts w:ascii="Times New Roman" w:hAnsi="Times New Roman"/>
                <w:b w:val="0"/>
                <w:sz w:val="24"/>
              </w:rPr>
              <w:t xml:space="preserve">Moisture Ingress</w:t>
            </w:r>
          </w:p>
        </w:tc>
        <w:tc>
          <w:tcPr>
            <w:tcW w:w="2256" w:type="dxa"/>
          </w:tcPr>
          <w:p>
            <w:r>
              <w:rPr>
                <w:rFonts w:ascii="Times New Roman" w:hAnsi="Times New Roman"/>
                <w:b w:val="0"/>
                <w:sz w:val="24"/>
              </w:rPr>
              <w:t xml:space="preserve">Hydrolytic decomposition</w:t>
            </w:r>
          </w:p>
        </w:tc>
        <w:tc>
          <w:tcPr>
            <w:tcW w:w="2256" w:type="dxa"/>
          </w:tcPr>
          <w:p>
            <w:r>
              <w:rPr>
                <w:rFonts w:ascii="Times New Roman" w:hAnsi="Times New Roman"/>
                <w:b w:val="0"/>
                <w:sz w:val="24"/>
              </w:rPr>
              <w:t xml:space="preserve">Humidity &gt; 50%</w:t>
            </w:r>
          </w:p>
        </w:tc>
        <w:tc>
          <w:tcPr>
            <w:tcW w:w="2258" w:type="dxa"/>
          </w:tcPr>
          <w:p>
            <w:r>
              <w:rPr>
                <w:rFonts w:ascii="Times New Roman" w:hAnsi="Times New Roman"/>
                <w:b w:val="0"/>
                <w:sz w:val="24"/>
              </w:rPr>
              <w:t xml:space="preserve">Very High</w:t>
            </w:r>
          </w:p>
        </w:tc>
      </w:tr>
      <w:tr>
        <w:tc>
          <w:tcPr>
            <w:tcW w:w="2256" w:type="dxa"/>
          </w:tcPr>
          <w:p>
            <w:r>
              <w:rPr>
                <w:rFonts w:ascii="Times New Roman" w:hAnsi="Times New Roman"/>
                <w:b w:val="0"/>
                <w:sz w:val="24"/>
              </w:rPr>
              <w:t xml:space="preserve">Oxygen Ingress</w:t>
            </w:r>
          </w:p>
        </w:tc>
        <w:tc>
          <w:tcPr>
            <w:tcW w:w="2256" w:type="dxa"/>
          </w:tcPr>
          <w:p>
            <w:r>
              <w:rPr>
                <w:rFonts w:ascii="Times New Roman" w:hAnsi="Times New Roman"/>
                <w:b w:val="0"/>
                <w:sz w:val="24"/>
              </w:rPr>
              <w:t xml:space="preserve">Oxidative decomposition</w:t>
            </w:r>
          </w:p>
        </w:tc>
        <w:tc>
          <w:tcPr>
            <w:tcW w:w="2256" w:type="dxa"/>
          </w:tcPr>
          <w:p>
            <w:r>
              <w:rPr>
                <w:rFonts w:ascii="Times New Roman" w:hAnsi="Times New Roman"/>
                <w:b w:val="0"/>
                <w:sz w:val="24"/>
              </w:rPr>
              <w:t xml:space="preserve">Oxygen concentration &gt; 50 ppm</w:t>
            </w:r>
          </w:p>
        </w:tc>
        <w:tc>
          <w:tcPr>
            <w:tcW w:w="2258" w:type="dxa"/>
          </w:tcPr>
          <w:p>
            <w:r>
              <w:rPr>
                <w:rFonts w:ascii="Times New Roman" w:hAnsi="Times New Roman"/>
                <w:b w:val="0"/>
                <w:sz w:val="24"/>
              </w:rPr>
              <w:t xml:space="preserve">Very High</w:t>
            </w:r>
          </w:p>
        </w:tc>
      </w:tr>
      <w:tr>
        <w:tc>
          <w:tcPr>
            <w:tcW w:w="2256" w:type="dxa"/>
          </w:tcPr>
          <w:p>
            <w:r>
              <w:rPr>
                <w:rFonts w:ascii="Times New Roman" w:hAnsi="Times New Roman"/>
                <w:b w:val="0"/>
                <w:sz w:val="24"/>
              </w:rPr>
              <w:t xml:space="preserve">Illumination Acceleration</w:t>
            </w:r>
          </w:p>
        </w:tc>
        <w:tc>
          <w:tcPr>
            <w:tcW w:w="2256" w:type="dxa"/>
          </w:tcPr>
          <w:p>
            <w:r>
              <w:rPr>
                <w:rFonts w:ascii="Times New Roman" w:hAnsi="Times New Roman"/>
                <w:b w:val="0"/>
                <w:sz w:val="24"/>
              </w:rPr>
              <w:t xml:space="preserve">Photochemical reactions</w:t>
            </w:r>
          </w:p>
        </w:tc>
        <w:tc>
          <w:tcPr>
            <w:tcW w:w="2256" w:type="dxa"/>
          </w:tcPr>
          <w:p>
            <w:r>
              <w:rPr>
                <w:rFonts w:ascii="Times New Roman" w:hAnsi="Times New Roman"/>
                <w:b w:val="0"/>
                <w:sz w:val="24"/>
              </w:rPr>
              <w:t xml:space="preserve">UV radiation exposure</w:t>
            </w:r>
          </w:p>
        </w:tc>
        <w:tc>
          <w:tcPr>
            <w:tcW w:w="2258" w:type="dxa"/>
          </w:tcPr>
          <w:p>
            <w:r>
              <w:rPr>
                <w:rFonts w:ascii="Times New Roman" w:hAnsi="Times New Roman"/>
                <w:b w:val="0"/>
                <w:sz w:val="24"/>
              </w:rPr>
              <w:t xml:space="preserve">High</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4. Conclusion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remarkable progress in perovskite solar cell efficiency, reaching 25.8% under laboratory conditions, represents a significant achievement that has outpaced many established commercial photovoltaic technologies. However, this advancement in power conversion efficiency has not been matched by corresponding improvements in operational stability, which remains the primary barrier to commercialization. While the theoretical potential for perovskite cells is evident from their exceptional performance metrics, the practical implementation of these devices requires a stability level that can sustain operation for at least 10 years under real-world conditions. The current state of stability, where most devices retain only 70-80% of their initial efficiency after thousands of hours of exposure to ambient conditions, demonstrates that commercial viability remains elusive despite the impressive gains in efficiency over the past decade.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fundamental instability of perovskite materials stems from their intrinsic chemical and structural vulnerabilities, particularly their sensitivity to moisture, oxygen, and thermal stress. Research consistently shows that perovskite films undergo rapid degradation when exposed to environmental contaminants, with degradation mechanisms including ion migration, photochemical decomposition, and crystalline structure transformation. The data from multiple studies reveal that even under controlled laboratory conditions, perovskite materials demonstrate limited stability, with most devices showing significant performance decline within 200-500 hours of continuous operation. This inherent instability is compounded by the complex interplay between material composition, device architecture, and environmental factors, which together create a multifaceted challenge that has yet to be fully resolved through current approaches.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comparative analysis of stability data across different device architectures reveals a clear pattern: while inverted planar structures and HTL-free configurations have shown improved long-term performance compared to traditional mesoporous designs, none of the current approaches achieve the 10-year operational stability required for commercial deployment. Table 1 presents a comprehensive comparison of stability metrics across various HTL-free PSC architectures, demonstrating that even the most stable configurations retain only approximately 90% of their initial efficiency after 1000 hours of continuous illumination. This data indicates that while structural modifications have provided incremental improvements in stability, they have not yet achieved the breakthrough level necessary for commercial success, with current performance still falling short of the minimum threshold required by industry standards.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economic feasibility analysis further underscores the critical importance of stability improvements for commercial viability, as current production costs and projected lifespan requirements create a substantial financial barrier that cannot be overcome through efficiency gains alone. The levelized cost of electricity for perovskite devices must reach $0.055/kWh to compete with established silicon technologies, yet current stability limitations prevent achieving this target without significant additional investment in protective measures and encapsulation systems. This economic reality, combined with the demonstrated need for standardized testing protocols to accurately assess performance and reliability, indicates that without fundamental improvements in material stability and device architecture, perovskite solar cells will remain commercially unviable despite their impressive laboratory performance.</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5. References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 Thirugnanasambandam M. Iniyan S. Goic R. A review of solar thermal technologies. Renewable Sustainable Energy Rev. 2010;14:312–322.</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2. Li N. Niu X. Chen Q. Zhou H. Towards commercialization: the operational stability of perovskite solar cells. Chem. Soc. Rev. 2020;49:8235–8286. doi: 10.1039/d0cs00573h.</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3. Zsiborács H. Baranyai N. H. Vincze A. Zentkó L. Birkner Z. Máté K. Pintér G. Intermittent renewable energy sources: The role of energy storage in the european power system of 2040. Electronics. 2019;8:729.</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4. King D., Browne J., Layard R., O'Donnell G., Rees M., Stern N. and Turner A., A global Apollo programme to combat climate change, London School of Economics and Political Science, 2015</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5. Fu H. C. Ramalingam V. Kim H. Lin C. H. Fang X. Alshareef H. N. He J. H. MXene-contacted silicon solar cells with 11.5% efficiency. Adv. Energy Mater. 2019;9:1900180.</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6. Chang W. C. Lan D. H. Lee K. M. Wang X. F. Liu C. L. Controlled deposition and performance optimization of perovskite solar cells using ultrasonic spray-coating of photoactive layers. ChemSusChem. 2017;10:1405–1412. doi: 10.1002/cssc.201601711.</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7. Huang L. Sun X. Li C. Xu J. Xu R. Du Y. Ni J. Cai H. Li J. Hu Z. UV-sintered low-temperature solution-processed SnO2 as robust electron transport layer for efficient planar heterojunction perovskite solar cells. ACS Appl. Mater. Interfaces. 2017;9:21909–21920. doi: 10.1021/acsami.7b04392.</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8. Xiao Z. Bi C. Shao Y. Dong Q. Wang Q. Yuan Y. Wang C. Gao Y. Huang J. Efficient, high yield perovskite photovoltaic devices grown by interdiffusion of solution-processed precursor stacking layers. Energy Environ. Sci. 2014;7:2619–2623.</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9. Luo P. Liu Z. Xia W. Yuan C. Cheng J. Lu Y. A simple in situ tubular chemical vapor deposition processing of large-scale efficient perovskite solar cells and the research on their novel roll-over phenomenon in J–V curves. J. Mater. Chem. A. 2015;3:12443–12451.</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10. Li S.-G. Jiang K.-J. Su M.-J. Cui X.-P. Huang J.-H. Zhang Q.-Q. Zhou X.-Q. Yang L.-M. Song Y.-L. Inkjet printing of CH 3 NH 3 PbI 3 on a mesoscopic TiO 2 film for highly efficient perovskite solar cells. J. Mater. Chem. A. 2015;3:9092–9097.</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11. Kim H. S. Lee C. R. Im J. H. Lee K. B. Moehl T. Marchioro A. Park N. G. Lead iodide perovskite sensitized all-solid-state submicron thin film mesoscopic solar cell with efficiency exceeding 9% Sci. Rep. 2012;2(1):1–7. doi: 10.1038/srep00591.</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12. Lee M. M. Teuscher J. Miyasaka T. Murakami T. N. Snaith H. J. Efficient hybrid solar cells based on meso-superstructured organometal halide perovskites. Science. 2012;338(6107):643–647. doi: 10.1126/science.1228604.</w:t>
      </w:r>
    </w:p>
    <w:sectPr w:rsidR="0024737E">
      <w:headerReference w:type="even" r:id="rId7"/>
      <w:headerReference w:type="default" r:id="rId8"/>
      <w:foot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B80" w14:textId="77777777" w:rsidR="00C0163D" w:rsidRDefault="00C0163D">
      <w:pPr>
        <w:spacing w:after="0" w:line="240" w:lineRule="auto"/>
      </w:pPr>
      <w:r>
        <w:separator/>
      </w:r>
    </w:p>
  </w:endnote>
  <w:endnote w:type="continuationSeparator" w:id="0">
    <w:p w14:paraId="34E91128" w14:textId="77777777" w:rsidR="00C0163D" w:rsidRDefault="00C0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491" w14:textId="77777777" w:rsidR="0024737E" w:rsidRDefault="00C0163D">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42E45DCD" w14:textId="77777777" w:rsidR="0024737E" w:rsidRDefault="0024737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2C3" w14:textId="77777777" w:rsidR="00C0163D" w:rsidRDefault="00C0163D">
      <w:pPr>
        <w:spacing w:after="0" w:line="240" w:lineRule="auto"/>
      </w:pPr>
      <w:r>
        <w:separator/>
      </w:r>
    </w:p>
  </w:footnote>
  <w:footnote w:type="continuationSeparator" w:id="0">
    <w:p w14:paraId="6AED0DCB" w14:textId="77777777" w:rsidR="00C0163D" w:rsidRDefault="00C01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7E"/>
    <w:rsid w:val="0024737E"/>
    <w:rsid w:val="006B04B1"/>
    <w:rsid w:val="00C0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B5BF35"/>
  <w15:docId w15:val="{BD96ADA3-9EA0-F64A-BC9C-02C81E4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4F"/>
    <w:rPr>
      <w:rFonts w:eastAsiaTheme="majorEastAsia" w:cstheme="majorBidi"/>
      <w:color w:val="272727" w:themeColor="text1" w:themeTint="D8"/>
    </w:rPr>
  </w:style>
  <w:style w:type="character" w:customStyle="1" w:styleId="TitleChar">
    <w:name w:val="Title Char"/>
    <w:basedOn w:val="DefaultParagraphFont"/>
    <w:link w:val="Title"/>
    <w:uiPriority w:val="10"/>
    <w:rsid w:val="00263D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263D4F"/>
    <w:rPr>
      <w:i/>
      <w:iCs/>
      <w:color w:val="404040" w:themeColor="text1" w:themeTint="BF"/>
    </w:rPr>
  </w:style>
  <w:style w:type="paragraph" w:styleId="ListParagraph">
    <w:name w:val="List Paragraph"/>
    <w:basedOn w:val="Normal"/>
    <w:uiPriority w:val="34"/>
    <w:qFormat/>
    <w:rsid w:val="00263D4F"/>
    <w:pPr>
      <w:ind w:left="720"/>
      <w:contextualSpacing/>
    </w:pPr>
  </w:style>
  <w:style w:type="character" w:styleId="IntenseEmphasis">
    <w:name w:val="Intense Emphasis"/>
    <w:basedOn w:val="DefaultParagraphFont"/>
    <w:uiPriority w:val="21"/>
    <w:qFormat/>
    <w:rsid w:val="00263D4F"/>
    <w:rPr>
      <w:i/>
      <w:iCs/>
      <w:color w:val="2F5496" w:themeColor="accent1" w:themeShade="BF"/>
    </w:rPr>
  </w:style>
  <w:style w:type="paragraph" w:styleId="IntenseQuote">
    <w:name w:val="Intense Quote"/>
    <w:basedOn w:val="Normal"/>
    <w:next w:val="Normal"/>
    <w:link w:val="IntenseQuoteChar"/>
    <w:uiPriority w:val="30"/>
    <w:qFormat/>
    <w:rsid w:val="002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4F"/>
    <w:rPr>
      <w:i/>
      <w:iCs/>
      <w:color w:val="2F5496" w:themeColor="accent1" w:themeShade="BF"/>
    </w:rPr>
  </w:style>
  <w:style w:type="character" w:styleId="IntenseReference">
    <w:name w:val="Intense Reference"/>
    <w:basedOn w:val="DefaultParagraphFont"/>
    <w:uiPriority w:val="32"/>
    <w:qFormat/>
    <w:rsid w:val="00263D4F"/>
    <w:rPr>
      <w:b/>
      <w:bCs/>
      <w:smallCaps/>
      <w:color w:val="2F5496" w:themeColor="accent1" w:themeShade="BF"/>
      <w:spacing w:val="5"/>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 w:type="table" w:styleId="PlainTable1">
    <w:name w:val="Plain Table 1"/>
    <w:basedOn w:val="TableNormal"/>
    <w:uiPriority w:val="41"/>
    <w:rsid w:val="00263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2tFfyS4vl73pY61twnH2jfQ==">CgMxLjA4AHIhMXJOeW1OVWhCUDRfd3V3bXJFdWVfVFVjSUkzRV9SdGlH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Sonar</dc:creator>
  <cp:lastModifiedBy>Raunak Singh</cp:lastModifiedBy>
  <cp:revision>2</cp:revision>
  <dcterms:created xsi:type="dcterms:W3CDTF">2026-08-09T05:51:00Z</dcterms:created>
  <dcterms:modified xsi:type="dcterms:W3CDTF">2026-08-09T05:51:00Z</dcterms:modified>
</cp:coreProperties>
</file>