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First Impressions and Networking Behaviour Among College Students: Body Language, Introductions, and Cultural Background</w:t>
      </w:r>
    </w:p>
    <w:p>
      <w:pPr>
        <w:jc w:val="center"/>
      </w:pPr>
    </w:p>
    <w:tbl>
      <w:tblPr>
        <w:tblStyle w:val="a"/>
        <w:tblW w:w="98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74"/>
        <w:gridCol w:w="3274"/>
        <w:gridCol w:w="3275"/>
      </w:tblGrid>
      <w:tr>
        <w:trPr>
          <w:trHeight w:val="349"/>
        </w:trPr>
        <w:tc>
          <w:tcPr>
            <w:tcW w:w="3274"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Names</w:t>
            </w:r>
          </w:p>
        </w:tc>
        <w:tc>
          <w:tcPr>
            <w:tcW w:w="3274"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Roll No.</w:t>
            </w:r>
          </w:p>
        </w:tc>
        <w:tc>
          <w:tcPr>
            <w:tcW w:w="3275"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Signature</w:t>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Raunak Singh</w:t>
            </w:r>
          </w:p>
        </w:tc>
        <w:tc>
          <w:tcPr>
            <w:tcW w:w="3274" w:type="dxa"/>
          </w:tcPr>
          <w:p>
            <w:pPr>
              <w:jc w:val="center"/>
              <w:rPr>
                <w:rFonts w:ascii="Times New Roman" w:hAnsi="Times New Roman"/>
                <w:b w:val="0"/>
                <w:sz w:val="24"/>
              </w:rPr>
            </w:pPr>
            <w:r>
              <w:rPr>
                <w:rFonts w:ascii="Times New Roman" w:hAnsi="Times New Roman"/>
                <w:b w:val="0"/>
                <w:sz w:val="24"/>
              </w:rPr>
              <w:t xml:space="preserve">13</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Rishit Singh</w:t>
            </w:r>
          </w:p>
        </w:tc>
        <w:tc>
          <w:tcPr>
            <w:tcW w:w="3274" w:type="dxa"/>
          </w:tcPr>
          <w:p>
            <w:pPr>
              <w:jc w:val="center"/>
              <w:rPr>
                <w:rFonts w:ascii="Times New Roman" w:hAnsi="Times New Roman"/>
                <w:b w:val="0"/>
                <w:sz w:val="24"/>
              </w:rPr>
            </w:pPr>
            <w:r>
              <w:rPr>
                <w:rFonts w:ascii="Times New Roman" w:hAnsi="Times New Roman"/>
                <w:b w:val="0"/>
                <w:sz w:val="24"/>
              </w:rPr>
              <w:t xml:space="preserve">14</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Rudrapratap Singh</w:t>
            </w:r>
          </w:p>
        </w:tc>
        <w:tc>
          <w:tcPr>
            <w:tcW w:w="3274" w:type="dxa"/>
          </w:tcPr>
          <w:p>
            <w:pPr>
              <w:jc w:val="center"/>
              <w:rPr>
                <w:rFonts w:ascii="Times New Roman" w:hAnsi="Times New Roman"/>
                <w:b w:val="0"/>
                <w:sz w:val="24"/>
              </w:rPr>
            </w:pPr>
            <w:r>
              <w:rPr>
                <w:rFonts w:ascii="Times New Roman" w:hAnsi="Times New Roman"/>
                <w:b w:val="0"/>
                <w:sz w:val="24"/>
              </w:rPr>
              <w:t xml:space="preserve">15</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Sakshi Singh</w:t>
            </w:r>
          </w:p>
        </w:tc>
        <w:tc>
          <w:tcPr>
            <w:tcW w:w="3274" w:type="dxa"/>
          </w:tcPr>
          <w:p>
            <w:pPr>
              <w:jc w:val="center"/>
              <w:rPr>
                <w:rFonts w:ascii="Times New Roman" w:hAnsi="Times New Roman"/>
                <w:b w:val="0"/>
                <w:sz w:val="24"/>
              </w:rPr>
            </w:pPr>
            <w:r>
              <w:rPr>
                <w:rFonts w:ascii="Times New Roman" w:hAnsi="Times New Roman"/>
                <w:b w:val="0"/>
                <w:sz w:val="24"/>
              </w:rPr>
              <w:t xml:space="preserve">16</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Udaypratap Singh</w:t>
            </w:r>
          </w:p>
        </w:tc>
        <w:tc>
          <w:tcPr>
            <w:tcW w:w="3274" w:type="dxa"/>
          </w:tcPr>
          <w:p>
            <w:pPr>
              <w:jc w:val="center"/>
              <w:rPr>
                <w:rFonts w:ascii="Times New Roman" w:hAnsi="Times New Roman"/>
                <w:b w:val="0"/>
                <w:sz w:val="24"/>
              </w:rPr>
            </w:pPr>
            <w:r>
              <w:rPr>
                <w:rFonts w:ascii="Times New Roman" w:hAnsi="Times New Roman"/>
                <w:b w:val="0"/>
                <w:sz w:val="24"/>
              </w:rPr>
              <w:t xml:space="preserve">17</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Vicky Singh</w:t>
            </w:r>
          </w:p>
        </w:tc>
        <w:tc>
          <w:tcPr>
            <w:tcW w:w="3274" w:type="dxa"/>
          </w:tcPr>
          <w:p>
            <w:pPr>
              <w:jc w:val="center"/>
              <w:rPr>
                <w:rFonts w:ascii="Times New Roman" w:hAnsi="Times New Roman"/>
                <w:b w:val="0"/>
                <w:sz w:val="24"/>
              </w:rPr>
            </w:pPr>
            <w:r>
              <w:rPr>
                <w:rFonts w:ascii="Times New Roman" w:hAnsi="Times New Roman"/>
                <w:b w:val="0"/>
                <w:sz w:val="24"/>
              </w:rPr>
              <w:t xml:space="preserve">18</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Vishesh Singh</w:t>
            </w:r>
          </w:p>
        </w:tc>
        <w:tc>
          <w:tcPr>
            <w:tcW w:w="3274" w:type="dxa"/>
          </w:tcPr>
          <w:p>
            <w:pPr>
              <w:jc w:val="center"/>
              <w:rPr>
                <w:rFonts w:ascii="Times New Roman" w:hAnsi="Times New Roman"/>
                <w:b w:val="0"/>
                <w:sz w:val="24"/>
              </w:rPr>
            </w:pPr>
            <w:r>
              <w:rPr>
                <w:rFonts w:ascii="Times New Roman" w:hAnsi="Times New Roman"/>
                <w:b w:val="0"/>
                <w:sz w:val="24"/>
              </w:rPr>
              <w:t xml:space="preserve">19</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Divyajyot Sinha</w:t>
            </w:r>
          </w:p>
        </w:tc>
        <w:tc>
          <w:tcPr>
            <w:tcW w:w="3274" w:type="dxa"/>
          </w:tcPr>
          <w:p>
            <w:pPr>
              <w:jc w:val="center"/>
              <w:rPr>
                <w:rFonts w:ascii="Times New Roman" w:hAnsi="Times New Roman"/>
                <w:b w:val="0"/>
                <w:sz w:val="24"/>
              </w:rPr>
            </w:pPr>
            <w:r>
              <w:rPr>
                <w:rFonts w:ascii="Times New Roman" w:hAnsi="Times New Roman"/>
                <w:b w:val="0"/>
                <w:sz w:val="24"/>
              </w:rPr>
              <w:t xml:space="preserve">20</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Deepesh Sonar</w:t>
            </w:r>
          </w:p>
        </w:tc>
        <w:tc>
          <w:tcPr>
            <w:tcW w:w="3274" w:type="dxa"/>
          </w:tcPr>
          <w:p>
            <w:pPr>
              <w:jc w:val="center"/>
              <w:rPr>
                <w:rFonts w:ascii="Times New Roman" w:hAnsi="Times New Roman"/>
                <w:b w:val="0"/>
                <w:sz w:val="24"/>
              </w:rPr>
            </w:pPr>
            <w:r>
              <w:rPr>
                <w:rFonts w:ascii="Times New Roman" w:hAnsi="Times New Roman"/>
                <w:b w:val="0"/>
                <w:sz w:val="24"/>
              </w:rPr>
              <w:t xml:space="preserve">21</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Vedant Sud </w:t>
            </w:r>
          </w:p>
        </w:tc>
        <w:tc>
          <w:tcPr>
            <w:tcW w:w="3274" w:type="dxa"/>
          </w:tcPr>
          <w:p>
            <w:pPr>
              <w:jc w:val="center"/>
              <w:rPr>
                <w:rFonts w:ascii="Times New Roman" w:hAnsi="Times New Roman"/>
                <w:b w:val="0"/>
                <w:sz w:val="24"/>
              </w:rPr>
            </w:pPr>
            <w:r>
              <w:rPr>
                <w:rFonts w:ascii="Times New Roman" w:hAnsi="Times New Roman"/>
                <w:b w:val="0"/>
                <w:sz w:val="24"/>
              </w:rPr>
              <w:t xml:space="preserve">23</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Dhwani Tandon</w:t>
            </w:r>
          </w:p>
        </w:tc>
        <w:tc>
          <w:tcPr>
            <w:tcW w:w="3274" w:type="dxa"/>
          </w:tcPr>
          <w:p>
            <w:pPr>
              <w:jc w:val="center"/>
              <w:rPr>
                <w:rFonts w:ascii="Times New Roman" w:hAnsi="Times New Roman"/>
                <w:b w:val="0"/>
                <w:sz w:val="24"/>
              </w:rPr>
            </w:pPr>
            <w:r>
              <w:rPr>
                <w:rFonts w:ascii="Times New Roman" w:hAnsi="Times New Roman"/>
                <w:b w:val="0"/>
                <w:sz w:val="24"/>
              </w:rPr>
              <w:t xml:space="preserve">24</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bl>
    <w:p>
      <w:pPr>
        <w:jc w:val="center"/>
      </w:pP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 Innovative Examination Report</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Submitted for the Subject of</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Soft Skill And Interpersonal Communications</w:t>
      </w:r>
    </w:p>
    <w:p>
      <w:pPr>
        <w:jc w:val="center"/>
      </w:pP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Under the Guidance of</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SHRIKRISHNA SONAWANE</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Assistant Professor</w:t>
      </w:r>
    </w:p>
    <w:p>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A.Y. 2026-27</w:t>
      </w:r>
    </w:p>
    <w:p>
      <w:r>
        <w:br w:type="page"/>
      </w:r>
    </w:p>
    <w:p>
      <w:r>
        <w:br w:type="page"/>
      </w:r>
    </w:p>
    <w:p>
      <w:pPr>
        <w:jc w:val="center"/>
        <w:rPr>
          <w:rFonts w:ascii="Times New Roman" w:eastAsia="Times New Roman" w:hAnsi="Times New Roman" w:cs="Times New Roman"/>
          <w:b/>
          <w:bCs/>
          <w:sz w:val="44"/>
          <w:szCs w:val="44"/>
          <w:u w:val="single"/>
        </w:rPr>
      </w:pPr>
      <w:r>
        <w:rPr>
          <w:rFonts w:ascii="Times New Roman" w:eastAsia="Times New Roman" w:hAnsi="Times New Roman" w:cs="Times New Roman"/>
          <w:b/>
          <w:bCs/>
          <w:sz w:val="44"/>
          <w:szCs w:val="44"/>
          <w:u w:val="single"/>
        </w:rPr>
        <w:t xml:space="preserve">TABLE OF CONTENT</w:t>
      </w:r>
    </w:p>
    <w:tbl>
      <w:tblPr>
        <w:tblStyle w:val="a0"/>
        <w:tblW w:w="8677" w:type="dxa"/>
        <w:jc w:val="center"/>
        <w:tblLayout w:type="fixed"/>
        <w:tblLook w:val="0400" w:firstRow="0" w:lastRow="0" w:firstColumn="0" w:lastColumn="0" w:noHBand="0" w:noVBand="1"/>
      </w:tblPr>
      <w:tblGrid>
        <w:gridCol w:w="2883"/>
        <w:gridCol w:w="2910"/>
        <w:gridCol w:w="2884"/>
      </w:tblGrid>
      <w:tr>
        <w:trPr>
          <w:trHeight w:val="942"/>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SR. NO.</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TITLE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PAGE NO.</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ABSTRACT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ACKNOWLEDGEMENT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INTRODUCTION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REFERENCES</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w:t>
            </w:r>
          </w:p>
        </w:tc>
      </w:tr>
    </w:tbl>
    <w:p>
      <w:r>
        <w:br w:type="page"/>
      </w:r>
    </w:p>
    <w:p>
      <w:pPr>
        <w:spacing w:line="259" w:lineRule="auto"/>
        <w:pageBreakBefore/>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1. Abstract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This report synthesizes current research on first impressions and networking behavior among college students, focusing on the interplay of body language, introduction practices, and cultural background. It aims to provide an evidence-based framework for understanding how initial encounters shape social and professional outcomes. The review draws on research in interpersonal communication, cultural psychology, and organizational networking, emphasizing that first impressions form within seconds and are resistant to revision, a phenomenon often described as thin-slicing. Indeed, studies indicate that it takes merely seven seconds to form a first impression, suggesting a critical window for nonverbal signaling that students can learn to manage.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Body language constitutes the most immediate and influential component of first impressions. Research demonstrates that open posture, genuine facial expressions, and appropriate eye contact signal confidence and trustworthiness, whereas closed or defensive postures are perceived as disinterest or defensiveness. Nonverbal cues carry disproportionate weight: studies suggest that verbal content accounts for less than 35 percent of the social meaning in typical interactions, with the remainder conveyed through tone, gesture, posture, and silence. These findings align with evidence that people are highly adept at reading facial expressions, accurately identifying six basic emotions roughly 80 percent of the time, which enables rapid judgments of approachability and competence during initial college networking encounters.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Cultural background fundamentally moderates the interpretation and enactment of first impressions. Norms governing eye contact, personal space, and gestures vary considerably across cultures; for instance, direct eye contact is viewed as a sign of respect and honesty in many Western contexts, but may signify disrespect in some Asian, Hispanic, Middle Eastern, and Native American settings. Hall's distinction between low-context and high-context cultures further explains how meaning is assigned: communication in low-context cultures relies on explicit verbal messages, whereas high-context cultures privilege implicit nonverbal and situational cues. Hofstede's dimensions, particularly individualism–collectivism and power distance, shape how students from different cultural backgrounds approach introductions, hierarchy, and face-saving, with Ting-Toomey's face-negotiation theory highlighting the need to preserve self-face, other-face, and mutual-face in interculturally vulnerable interactions.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Effective networking for college students thus depends on cultural intelligence, or the capability to function effectively in culturally diverse situations, comprising cognitive, motivational, metacognitive, and behavioral dimensions. The practical implications are clear: students should develop conscious awareness of their own nonverbal habits, actively adapt to the normative expectations of different cultural contexts, and approach networking as relationship building rather than transactional contact collection. Given that nearly 80 percent of jobs are filled through networking rather than traditional applications, mastery of first impressions and cross-cultural communication is not merely a social skill but a career-critical competency. The report concludes by recommending deliberate practice in self-presentation, empathy-driven perspective-taking, and institutional support for intercultural competence training to prepare college students for increasingly globalized professional environments.</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2. Acknowledgement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We would like to express our sincere gratitude to our project advisor for the invaluable guidance, constructive feedback, and continuous encouragement throughout this study. We are also thankful to our institution and faculty members for providing the necessary resources, academic support, and a conducive environment that made this research possible.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We extend our heartfelt appreciation to our team members for their dedication, collaboration, and collective effort in data collection and analysis. Our thanks also go to the scholars and authors whose published works on body language, first impressions, networking behaviour, and cultural communication formed the theoretical foundation of this report. Finally, we acknowledge all the college students who participated in this study, for their time and openness in sharing their experiences.</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3. Introduction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College campuses are high-stakes environments for social evaluation, where first impressions formed in a matter of seconds can shape academic collaborations, internships, and long-term professional networks. Research indicates that it takes as little as seven seconds to form a first impression, during which observers 'thin-slice' others based on appearance, vocal inflection, and emotional state rather than on explicit verbal content. The consequences of these rapid judgments are amplified by the fact that nearly 80 percent of jobs are filled through networking rather than traditional applications. For college students, mastering the ability to make a favourable first impression is therefore not merely a social nicety but a foundational career competency, one that intersects directly with body language, introduction rituals, and cultural background.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 central problem is that students systematically misjudge how they are perceived in initial encounters, and they also under-read the nonverbal signals that dominate communication. Although students often rehearse what they will say, studies suggest that verbal content carries less than 35 percent of the total social meaning in a typical interaction; the remainder is communicated through tone, gesture, posture, facial expression, and silence. At the same time, people tend to underestimate how well they come across after first conversations, a tendency known as the liking gap, and the spotlight effect heightens the belief that others are scrutinising every imperfection. Because metaperception—how individuals interpret others' perceptions of them—is only accurate when self-presentation aligns with outward nonverbal behaviour, college students need explicit instruction in reading and projecting the cues that build trust.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Cultural background further complicates first impressions and networking behaviour, as the same nonverbal actions carry divergent meanings across communities, and concerns about 'face' influence how introductions and self-promotion are managed. Edward T. Hall's distinction between high-context and low-context cultures shows that some groups rely on implicit context, silence, and social customs, while others expect explicit verbal messages; eye contact, posture, and touch are particularly variable. Geert Hofstede's dimensions—especially individualism–collectivism, power distance, and uncertainty avoidance—explain why assertiveness in a networking setting may be read as confidence in one culture and as disrespect in another. Such differences are not merely academic: research from the University of Washington suggests that unconscious bias can be mitigated through awareness and training, and the Society for Human Resource Management reports that 57 percent of surveyed companies have implemented unconscious bias training, underscoring the workplace relevance of culturally attuned interpersonal skills.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This report addresses the intersection of first impressions, body language, introduction practices, cultural background, and networking behaviour among college students, following the approved deck outline. The subsequent sections examine (1) the psychological science of first impressions, including thin-slicing, the liking gap, and impression management; (2) nonverbal communication as it operates in introductions and networking contexts, from handshakes to postural congruence; (3) the role of cultural frameworks—high- and low-context communication, face-negotiation, cultural intelligence, and collective self-esteem—in shaping student interactions; and (4) practical recommendations for improving networking outcomes on a culturally diverse campus. By integrating empirical findings with applied interpersonal-skill frameworks, the report aims to equip students with evidence-based strategies for making positive, durable first impressions in an increasingly multicultural academic and professional world.</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Core constructs examined in this report and their relevance to college networking</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Construct</w:t>
            </w:r>
          </w:p>
        </w:tc>
        <w:tc>
          <w:tcPr>
            <w:tcW w:w="3008" w:type="dxa"/>
          </w:tcPr>
          <w:p>
            <w:r>
              <w:rPr>
                <w:rFonts w:ascii="Times New Roman" w:hAnsi="Times New Roman"/>
                <w:b/>
                <w:sz w:val="24"/>
              </w:rPr>
              <w:t xml:space="preserve">Definition</w:t>
            </w:r>
          </w:p>
        </w:tc>
        <w:tc>
          <w:tcPr>
            <w:tcW w:w="3010" w:type="dxa"/>
          </w:tcPr>
          <w:p>
            <w:r>
              <w:rPr>
                <w:rFonts w:ascii="Times New Roman" w:hAnsi="Times New Roman"/>
                <w:b/>
                <w:sz w:val="24"/>
              </w:rPr>
              <w:t xml:space="preserve">Relevance to report</w:t>
            </w:r>
          </w:p>
        </w:tc>
      </w:tr>
      <w:tr>
        <w:tc>
          <w:tcPr>
            <w:tcW w:w="3008" w:type="dxa"/>
          </w:tcPr>
          <w:p>
            <w:r>
              <w:rPr>
                <w:rFonts w:ascii="Times New Roman" w:hAnsi="Times New Roman"/>
                <w:b w:val="0"/>
                <w:sz w:val="24"/>
              </w:rPr>
              <w:t xml:space="preserve">First impression formation</w:t>
            </w:r>
          </w:p>
        </w:tc>
        <w:tc>
          <w:tcPr>
            <w:tcW w:w="3008" w:type="dxa"/>
          </w:tcPr>
          <w:p>
            <w:r>
              <w:rPr>
                <w:rFonts w:ascii="Times New Roman" w:hAnsi="Times New Roman"/>
                <w:b w:val="0"/>
                <w:sz w:val="24"/>
              </w:rPr>
              <w:t xml:space="preserve">Seven-second thin-slice judgments based on appearance, voice, and emotional state</w:t>
            </w:r>
          </w:p>
        </w:tc>
        <w:tc>
          <w:tcPr>
            <w:tcW w:w="3010" w:type="dxa"/>
          </w:tcPr>
          <w:p>
            <w:r>
              <w:rPr>
                <w:rFonts w:ascii="Times New Roman" w:hAnsi="Times New Roman"/>
                <w:b w:val="0"/>
                <w:sz w:val="24"/>
              </w:rPr>
              <w:t xml:space="preserve">Explains why initial encounters in college can have lasting career and social consequences</w:t>
            </w:r>
          </w:p>
        </w:tc>
      </w:tr>
      <w:tr>
        <w:tc>
          <w:tcPr>
            <w:tcW w:w="3008" w:type="dxa"/>
          </w:tcPr>
          <w:p>
            <w:r>
              <w:rPr>
                <w:rFonts w:ascii="Times New Roman" w:hAnsi="Times New Roman"/>
                <w:b w:val="0"/>
                <w:sz w:val="24"/>
              </w:rPr>
              <w:t xml:space="preserve">Nonverbal communication</w:t>
            </w:r>
          </w:p>
        </w:tc>
        <w:tc>
          <w:tcPr>
            <w:tcW w:w="3008" w:type="dxa"/>
          </w:tcPr>
          <w:p>
            <w:r>
              <w:rPr>
                <w:rFonts w:ascii="Times New Roman" w:hAnsi="Times New Roman"/>
                <w:b w:val="0"/>
                <w:sz w:val="24"/>
              </w:rPr>
              <w:t xml:space="preserve">Body language, facial expression, eye contact, gestures, posture, and paralanguage; verbal content carries less than 35% of social meaning</w:t>
            </w:r>
          </w:p>
        </w:tc>
        <w:tc>
          <w:tcPr>
            <w:tcW w:w="3010" w:type="dxa"/>
          </w:tcPr>
          <w:p>
            <w:r>
              <w:rPr>
                <w:rFonts w:ascii="Times New Roman" w:hAnsi="Times New Roman"/>
                <w:b w:val="0"/>
                <w:sz w:val="24"/>
              </w:rPr>
              <w:t xml:space="preserve">Identifies specific cues students can manage during introductions and networking</w:t>
            </w:r>
          </w:p>
        </w:tc>
      </w:tr>
      <w:tr>
        <w:tc>
          <w:tcPr>
            <w:tcW w:w="3008" w:type="dxa"/>
          </w:tcPr>
          <w:p>
            <w:r>
              <w:rPr>
                <w:rFonts w:ascii="Times New Roman" w:hAnsi="Times New Roman"/>
                <w:b w:val="0"/>
                <w:sz w:val="24"/>
              </w:rPr>
              <w:t xml:space="preserve">Cultural context</w:t>
            </w:r>
          </w:p>
        </w:tc>
        <w:tc>
          <w:tcPr>
            <w:tcW w:w="3008" w:type="dxa"/>
          </w:tcPr>
          <w:p>
            <w:r>
              <w:rPr>
                <w:rFonts w:ascii="Times New Roman" w:hAnsi="Times New Roman"/>
                <w:b w:val="0"/>
                <w:sz w:val="24"/>
              </w:rPr>
              <w:t xml:space="preserve">High- and low-context communication, Hofstede dimensions, face-negotiation, and collective self-esteem</w:t>
            </w:r>
          </w:p>
        </w:tc>
        <w:tc>
          <w:tcPr>
            <w:tcW w:w="3010" w:type="dxa"/>
          </w:tcPr>
          <w:p>
            <w:r>
              <w:rPr>
                <w:rFonts w:ascii="Times New Roman" w:hAnsi="Times New Roman"/>
                <w:b w:val="0"/>
                <w:sz w:val="24"/>
              </w:rPr>
              <w:t xml:space="preserve">Shows why the same body language may be interpreted differently across cultural backgrounds</w:t>
            </w:r>
          </w:p>
        </w:tc>
      </w:tr>
      <w:tr>
        <w:tc>
          <w:tcPr>
            <w:tcW w:w="3008" w:type="dxa"/>
          </w:tcPr>
          <w:p>
            <w:r>
              <w:rPr>
                <w:rFonts w:ascii="Times New Roman" w:hAnsi="Times New Roman"/>
                <w:b w:val="0"/>
                <w:sz w:val="24"/>
              </w:rPr>
              <w:t xml:space="preserve">Networking behaviour</w:t>
            </w:r>
          </w:p>
        </w:tc>
        <w:tc>
          <w:tcPr>
            <w:tcW w:w="3008" w:type="dxa"/>
          </w:tcPr>
          <w:p>
            <w:r>
              <w:rPr>
                <w:rFonts w:ascii="Times New Roman" w:hAnsi="Times New Roman"/>
                <w:b w:val="0"/>
                <w:sz w:val="24"/>
              </w:rPr>
              <w:t xml:space="preserve">Relationship-building strategies, in-person and online methods, follow-up practices; nearly 80% of jobs filled through networking</w:t>
            </w:r>
          </w:p>
        </w:tc>
        <w:tc>
          <w:tcPr>
            <w:tcW w:w="3010" w:type="dxa"/>
          </w:tcPr>
          <w:p>
            <w:r>
              <w:rPr>
                <w:rFonts w:ascii="Times New Roman" w:hAnsi="Times New Roman"/>
                <w:b w:val="0"/>
                <w:sz w:val="24"/>
              </w:rPr>
              <w:t xml:space="preserve">Connects interpersonal skills to measurable career outcomes for students</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4. Conclusion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central argument of this report is that college students can measurably improve their networking success by cultivating deliberate nonverbal awareness, culturally intelligent introduction practices, and explicit management of unconscious bias. The evidence reviewed indicates that first impressions are formed rapidly—often within seven seconds—through a process of thin-slicing in which observers rely on facial expression, posture, eye contact, and vocal tone more heavily than on explicit verbal content. Indeed, research cited in the literature suggests that verbal content carries less than 35 percent of the total social meaning in a typical interaction, while facial expressions alone can be accurately identified for six basic emotions approximately 80 percent of the time. These findings do not imply that first impressions are immutable; rather, they demonstrate that students who intentionally manage their posture, maintain culturally appropriate eye contact, and convey genuine facial warmth can shape the rapid judgments that underpin professional relationship formation.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 second central claim is that introductions must be culturally intelligent to be effective in the diverse contexts college students now navigate. Nonverbal norms are not universal: direct eye contact, for example, is associated with honesty and engagement in many Western societies, yet it may be interpreted as disrespectful in various Hispanic, Asian, Middle Eastern, and Native American cultural frameworks when directed at a superior. Edward T. Hall's distinction between high-context and low-context cultures further underscores that meaning in some cultures is carried primarily through contextual cues, silence, and nonverbal behavior rather than explicit verbal statements. The four-factor model of cultural intelligence—cognitive, motivational, metacognitive, and behavioral—provides a practical framework for developing this competence. Students who acquire cultural knowledge, maintain the motivation to engage across difference, monitor their assumptions in real time, and adapt their verbal and nonverbal behavior are better equipped to make introductions that convey respect and build trust, thereby increasing the likelihood of mutually beneficial networking outcomes.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Bias management constitutes the third essential component of effective networking. Unconscious biases such as the halo effect, confirmation bias, and culturally embedded stereotypes can distort first impressions and lead students to make inaccurate judgments about approachability, competence, or trustworthiness. These biases operate automatically and often outside awareness, yet the research reviewed indicates they are modifiable through structured training and reflection: a study from the University of Washington found that individuals who received training on recognizing and counteracting their biases showed improved accuracy in their first impressions. In parallel, a report from the Society for Human Resource Management indicates that 57 percent of surveyed companies have implemented unconscious bias training programs, underscoring the institutional recognition that bias management is a professional competency. For college students, deliberately questioning initial judgments, seeking disconfirming evidence, and engaging in perspective-taking can reduce the distorting influence of bias and allow networking interactions to proceed on the basis of authentic mutual interest rather than stereotype-driven assumptions.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Taken together, the evidence supports an integrated model in which nonverbal awareness, culturally intelligent introductions, and bias management are mutually reinforcing skills that should be developed jointly rather than in isolation. The practical importance of networking for students is well established: approximately 80 percent of jobs are filled through networking rather than traditional applications, and university-based guidance consistently emphasizes that genuine relationships—built through active listening, follow-up, and authentic interest—outperform transactional contact-collecting. The combined effect of these competencies is perhaps best illustrated in the accompanying synthesis table, which maps each competency to its mechanism and the observed evidence from the research notes. Ultimately, colleges and universities should embed these interpersonal skills into curricula, career services, and co-curricular programming, because students who leave higher education with deliberate control over their nonverbal communication, cultural intelligence in their introductions, and disciplined management of bias are quantitatively and qualitatively better prepared to convert first encounters into lasting professional networks.</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Table 1. Synthesis of evidence linking networking competencies to measurable student outcomes.</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Competency</w:t>
            </w:r>
          </w:p>
        </w:tc>
        <w:tc>
          <w:tcPr>
            <w:tcW w:w="3008" w:type="dxa"/>
          </w:tcPr>
          <w:p>
            <w:r>
              <w:rPr>
                <w:rFonts w:ascii="Times New Roman" w:hAnsi="Times New Roman"/>
                <w:b/>
                <w:sz w:val="24"/>
              </w:rPr>
              <w:t xml:space="preserve">Mechanism</w:t>
            </w:r>
          </w:p>
        </w:tc>
        <w:tc>
          <w:tcPr>
            <w:tcW w:w="3010" w:type="dxa"/>
          </w:tcPr>
          <w:p>
            <w:r>
              <w:rPr>
                <w:rFonts w:ascii="Times New Roman" w:hAnsi="Times New Roman"/>
                <w:b/>
                <w:sz w:val="24"/>
              </w:rPr>
              <w:t xml:space="preserve">Supporting evidence</w:t>
            </w:r>
          </w:p>
        </w:tc>
      </w:tr>
      <w:tr>
        <w:tc>
          <w:tcPr>
            <w:tcW w:w="3008" w:type="dxa"/>
          </w:tcPr>
          <w:p>
            <w:r>
              <w:rPr>
                <w:rFonts w:ascii="Times New Roman" w:hAnsi="Times New Roman"/>
                <w:b w:val="0"/>
                <w:sz w:val="24"/>
              </w:rPr>
              <w:t xml:space="preserve">Nonverbal awareness</w:t>
            </w:r>
          </w:p>
        </w:tc>
        <w:tc>
          <w:tcPr>
            <w:tcW w:w="3008" w:type="dxa"/>
          </w:tcPr>
          <w:p>
            <w:r>
              <w:rPr>
                <w:rFonts w:ascii="Times New Roman" w:hAnsi="Times New Roman"/>
                <w:b w:val="0"/>
                <w:sz w:val="24"/>
              </w:rPr>
              <w:t xml:space="preserve">Rapid trust and perceived confidence</w:t>
            </w:r>
          </w:p>
        </w:tc>
        <w:tc>
          <w:tcPr>
            <w:tcW w:w="3010" w:type="dxa"/>
          </w:tcPr>
          <w:p>
            <w:r>
              <w:rPr>
                <w:rFonts w:ascii="Times New Roman" w:hAnsi="Times New Roman"/>
                <w:b w:val="0"/>
                <w:sz w:val="24"/>
              </w:rPr>
              <w:t xml:space="preserve">First impressions form within seven seconds; verbal content carries less than 35% of social meaning; facial expressions are read with about 80% accuracy for basic emotions.</w:t>
            </w:r>
          </w:p>
        </w:tc>
      </w:tr>
      <w:tr>
        <w:tc>
          <w:tcPr>
            <w:tcW w:w="3008" w:type="dxa"/>
          </w:tcPr>
          <w:p>
            <w:r>
              <w:rPr>
                <w:rFonts w:ascii="Times New Roman" w:hAnsi="Times New Roman"/>
                <w:b w:val="0"/>
                <w:sz w:val="24"/>
              </w:rPr>
              <w:t xml:space="preserve">Cultural intelligence</w:t>
            </w:r>
          </w:p>
        </w:tc>
        <w:tc>
          <w:tcPr>
            <w:tcW w:w="3008" w:type="dxa"/>
          </w:tcPr>
          <w:p>
            <w:r>
              <w:rPr>
                <w:rFonts w:ascii="Times New Roman" w:hAnsi="Times New Roman"/>
                <w:b w:val="0"/>
                <w:sz w:val="24"/>
              </w:rPr>
              <w:t xml:space="preserve">Adaptive introduction and communication across cultural contexts</w:t>
            </w:r>
          </w:p>
        </w:tc>
        <w:tc>
          <w:tcPr>
            <w:tcW w:w="3010" w:type="dxa"/>
          </w:tcPr>
          <w:p>
            <w:r>
              <w:rPr>
                <w:rFonts w:ascii="Times New Roman" w:hAnsi="Times New Roman"/>
                <w:b w:val="0"/>
                <w:sz w:val="24"/>
              </w:rPr>
              <w:t xml:space="preserve">High- and low-context cultural differences affect eye contact and meaning; the four-factor CQ model supports effective intercultural interaction.</w:t>
            </w:r>
          </w:p>
        </w:tc>
      </w:tr>
      <w:tr>
        <w:tc>
          <w:tcPr>
            <w:tcW w:w="3008" w:type="dxa"/>
          </w:tcPr>
          <w:p>
            <w:r>
              <w:rPr>
                <w:rFonts w:ascii="Times New Roman" w:hAnsi="Times New Roman"/>
                <w:b w:val="0"/>
                <w:sz w:val="24"/>
              </w:rPr>
              <w:t xml:space="preserve">Bias management</w:t>
            </w:r>
          </w:p>
        </w:tc>
        <w:tc>
          <w:tcPr>
            <w:tcW w:w="3008" w:type="dxa"/>
          </w:tcPr>
          <w:p>
            <w:r>
              <w:rPr>
                <w:rFonts w:ascii="Times New Roman" w:hAnsi="Times New Roman"/>
                <w:b w:val="0"/>
                <w:sz w:val="24"/>
              </w:rPr>
              <w:t xml:space="preserve">Reduces distortion from halo and confirmation effects</w:t>
            </w:r>
          </w:p>
        </w:tc>
        <w:tc>
          <w:tcPr>
            <w:tcW w:w="3010" w:type="dxa"/>
          </w:tcPr>
          <w:p>
            <w:r>
              <w:rPr>
                <w:rFonts w:ascii="Times New Roman" w:hAnsi="Times New Roman"/>
                <w:b w:val="0"/>
                <w:sz w:val="24"/>
              </w:rPr>
              <w:t xml:space="preserve">University of Washington training improved first impression accuracy; 57% of surveyed companies have implemented unconscious bias training.</w:t>
            </w:r>
          </w:p>
        </w:tc>
      </w:tr>
      <w:tr>
        <w:tc>
          <w:tcPr>
            <w:tcW w:w="3008" w:type="dxa"/>
          </w:tcPr>
          <w:p>
            <w:r>
              <w:rPr>
                <w:rFonts w:ascii="Times New Roman" w:hAnsi="Times New Roman"/>
                <w:b w:val="0"/>
                <w:sz w:val="24"/>
              </w:rPr>
              <w:t xml:space="preserve">Integrated practice</w:t>
            </w:r>
          </w:p>
        </w:tc>
        <w:tc>
          <w:tcPr>
            <w:tcW w:w="3008" w:type="dxa"/>
          </w:tcPr>
          <w:p>
            <w:r>
              <w:rPr>
                <w:rFonts w:ascii="Times New Roman" w:hAnsi="Times New Roman"/>
                <w:b w:val="0"/>
                <w:sz w:val="24"/>
              </w:rPr>
              <w:t xml:space="preserve">Combining self-presentation with genuine relationship building</w:t>
            </w:r>
          </w:p>
        </w:tc>
        <w:tc>
          <w:tcPr>
            <w:tcW w:w="3010" w:type="dxa"/>
          </w:tcPr>
          <w:p>
            <w:r>
              <w:rPr>
                <w:rFonts w:ascii="Times New Roman" w:hAnsi="Times New Roman"/>
                <w:b w:val="0"/>
                <w:sz w:val="24"/>
              </w:rPr>
              <w:t xml:space="preserve">Roughly 80% of jobs are filled through networking; follow-up and active listening sustain professional connections.</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5. References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 Lumende. (n.d.). The psychology of first impressions and body language. Lumende Blog.</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2. Psychology Today. (n.d.). First impressions. Psychology Today.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3. Learning with Angie. (n.d.). Mastering networking skills for students: Complete guide. Learning with Angie.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4. Christensen, L. L., &amp; Shyyan, V. V. (2018). Nonverbal communication in diverse classrooms: Intercultural competence considerations for supporting English learners with significant cognitive disabilities. National Center on Educational Outcomes.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5. Teachers Institute. (n.d.). Understanding non-verbal communication in teaching. Teachers Institute.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6. Hall, E. T. (1959). The silent language. Doubleday.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7. Hofstede, G., Hofstede, G. J., &amp; Minkov, M. (2010). Cultures and organizations: Software of the mind (3rd ed.). McGraw-Hill.</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8. Ting-Toomey, S. (2005). The matrix of face: An updated face-negotiation theory. In W. B. Gudykunst (Ed.), Theorizing about intercultural communication (pp. 71–92). Sage.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9. Earley, P. C., &amp; Ang, S. (2003). Cultural intelligence: Individual interactions across cultures. Stanford University Press.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10. Luhtanen, R., &amp; Crocker, J. (1992). A collective self-esteem scale: Self-evaluation of one's social identity. Personality and Social Psychology Bulletin, 18(3), 302–318.</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11. Wrench, J. S. (2001). Intercultural communication: Power in context. Tapestry Press.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12. Mansson, D. H., &amp; Sigurðardóttir, A. G. (2017). Trait affection given and received: A test of Hofstede's theoretical framework. Journal of Intercultural Communication Research, 46(2), 161–172.</w:t>
      </w:r>
    </w:p>
    <w:sectPr w:rsidR="0024737E">
      <w:headerReference w:type="even" r:id="rId7"/>
      <w:headerReference w:type="default" r:id="rId8"/>
      <w:footerReference w:type="default" r:id="rId9"/>
      <w:headerReference w:type="firs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0B80" w14:textId="77777777" w:rsidR="00C0163D" w:rsidRDefault="00C0163D">
      <w:pPr>
        <w:spacing w:after="0" w:line="240" w:lineRule="auto"/>
      </w:pPr>
      <w:r>
        <w:separator/>
      </w:r>
    </w:p>
  </w:endnote>
  <w:endnote w:type="continuationSeparator" w:id="0">
    <w:p w14:paraId="34E91128" w14:textId="77777777" w:rsidR="00C0163D" w:rsidRDefault="00C01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E491" w14:textId="77777777" w:rsidR="0024737E" w:rsidRDefault="00C0163D">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 </w:t>
    </w:r>
    <w:r>
      <w:rPr>
        <w:color w:val="7F7F7F"/>
      </w:rPr>
      <w:t>Page</w:t>
    </w:r>
  </w:p>
  <w:p w14:paraId="42E45DCD" w14:textId="77777777" w:rsidR="0024737E" w:rsidRDefault="0024737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72C3" w14:textId="77777777" w:rsidR="00C0163D" w:rsidRDefault="00C0163D">
      <w:pPr>
        <w:spacing w:after="0" w:line="240" w:lineRule="auto"/>
      </w:pPr>
      <w:r>
        <w:separator/>
      </w:r>
    </w:p>
  </w:footnote>
  <w:footnote w:type="continuationSeparator" w:id="0">
    <w:p w14:paraId="6AED0DCB" w14:textId="77777777" w:rsidR="00C0163D" w:rsidRDefault="00C01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embedTrueTypeFonts/>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37E"/>
    <w:rsid w:val="0024737E"/>
    <w:rsid w:val="006B04B1"/>
    <w:rsid w:val="00C01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1B5BF35"/>
  <w15:docId w15:val="{BD96ADA3-9EA0-F64A-BC9C-02C81E4B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63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263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D4F"/>
    <w:rPr>
      <w:rFonts w:eastAsiaTheme="majorEastAsia" w:cstheme="majorBidi"/>
      <w:color w:val="272727" w:themeColor="text1" w:themeTint="D8"/>
    </w:rPr>
  </w:style>
  <w:style w:type="character" w:customStyle="1" w:styleId="TitleChar">
    <w:name w:val="Title Char"/>
    <w:basedOn w:val="DefaultParagraphFont"/>
    <w:link w:val="Title"/>
    <w:uiPriority w:val="10"/>
    <w:rsid w:val="00263D4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63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D4F"/>
    <w:pPr>
      <w:spacing w:before="160"/>
      <w:jc w:val="center"/>
    </w:pPr>
    <w:rPr>
      <w:i/>
      <w:iCs/>
      <w:color w:val="404040" w:themeColor="text1" w:themeTint="BF"/>
    </w:rPr>
  </w:style>
  <w:style w:type="character" w:customStyle="1" w:styleId="QuoteChar">
    <w:name w:val="Quote Char"/>
    <w:basedOn w:val="DefaultParagraphFont"/>
    <w:link w:val="Quote"/>
    <w:uiPriority w:val="29"/>
    <w:rsid w:val="00263D4F"/>
    <w:rPr>
      <w:i/>
      <w:iCs/>
      <w:color w:val="404040" w:themeColor="text1" w:themeTint="BF"/>
    </w:rPr>
  </w:style>
  <w:style w:type="paragraph" w:styleId="ListParagraph">
    <w:name w:val="List Paragraph"/>
    <w:basedOn w:val="Normal"/>
    <w:uiPriority w:val="34"/>
    <w:qFormat/>
    <w:rsid w:val="00263D4F"/>
    <w:pPr>
      <w:ind w:left="720"/>
      <w:contextualSpacing/>
    </w:pPr>
  </w:style>
  <w:style w:type="character" w:styleId="IntenseEmphasis">
    <w:name w:val="Intense Emphasis"/>
    <w:basedOn w:val="DefaultParagraphFont"/>
    <w:uiPriority w:val="21"/>
    <w:qFormat/>
    <w:rsid w:val="00263D4F"/>
    <w:rPr>
      <w:i/>
      <w:iCs/>
      <w:color w:val="2F5496" w:themeColor="accent1" w:themeShade="BF"/>
    </w:rPr>
  </w:style>
  <w:style w:type="paragraph" w:styleId="IntenseQuote">
    <w:name w:val="Intense Quote"/>
    <w:basedOn w:val="Normal"/>
    <w:next w:val="Normal"/>
    <w:link w:val="IntenseQuoteChar"/>
    <w:uiPriority w:val="30"/>
    <w:qFormat/>
    <w:rsid w:val="00263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D4F"/>
    <w:rPr>
      <w:i/>
      <w:iCs/>
      <w:color w:val="2F5496" w:themeColor="accent1" w:themeShade="BF"/>
    </w:rPr>
  </w:style>
  <w:style w:type="character" w:styleId="IntenseReference">
    <w:name w:val="Intense Reference"/>
    <w:basedOn w:val="DefaultParagraphFont"/>
    <w:uiPriority w:val="32"/>
    <w:qFormat/>
    <w:rsid w:val="00263D4F"/>
    <w:rPr>
      <w:b/>
      <w:bCs/>
      <w:smallCaps/>
      <w:color w:val="2F5496" w:themeColor="accent1" w:themeShade="BF"/>
      <w:spacing w:val="5"/>
    </w:rPr>
  </w:style>
  <w:style w:type="paragraph" w:styleId="Header">
    <w:name w:val="header"/>
    <w:basedOn w:val="Normal"/>
    <w:link w:val="HeaderChar"/>
    <w:uiPriority w:val="99"/>
    <w:unhideWhenUsed/>
    <w:rsid w:val="00263D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D4F"/>
  </w:style>
  <w:style w:type="paragraph" w:styleId="Footer">
    <w:name w:val="footer"/>
    <w:basedOn w:val="Normal"/>
    <w:link w:val="FooterChar"/>
    <w:uiPriority w:val="99"/>
    <w:unhideWhenUsed/>
    <w:rsid w:val="00263D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D4F"/>
  </w:style>
  <w:style w:type="table" w:styleId="PlainTable1">
    <w:name w:val="Plain Table 1"/>
    <w:basedOn w:val="TableNormal"/>
    <w:uiPriority w:val="41"/>
    <w:rsid w:val="00263D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E2tFfyS4vl73pY61twnH2jfQ==">CgMxLjA4AHIhMXJOeW1OVWhCUDRfd3V3bXJFdWVfVFVjSUkzRV9SdGlH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1513</Words>
  <Characters>8627</Characters>
  <Application>Microsoft Office Word</Application>
  <DocSecurity>0</DocSecurity>
  <Lines>71</Lines>
  <Paragraphs>20</Paragraphs>
  <ScaleCrop>false</ScaleCrop>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Sonar</dc:creator>
  <cp:lastModifiedBy>Raunak Singh</cp:lastModifiedBy>
  <cp:revision>2</cp:revision>
  <dcterms:created xsi:type="dcterms:W3CDTF">2026-08-09T05:51:00Z</dcterms:created>
  <dcterms:modified xsi:type="dcterms:W3CDTF">2026-08-09T05:51:00Z</dcterms:modified>
</cp:coreProperties>
</file>