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Solid-State Batteries: The Long Road From Lab to Gigafactory</w:t>
      </w:r>
    </w:p>
    <w:p>
      <w:pPr>
        <w:jc w:val="center"/>
      </w:pPr>
    </w:p>
    <w:tbl>
      <w:tblPr>
        <w:tblStyle w:val="a"/>
        <w:tblW w:w="982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74"/>
        <w:gridCol w:w="3274"/>
        <w:gridCol w:w="3275"/>
      </w:tblGrid>
      <w:tr>
        <w:trPr>
          <w:trHeight w:val="349"/>
        </w:trPr>
        <w:tc>
          <w:tcPr>
            <w:tcW w:w="3274" w:type="dxa"/>
          </w:tcPr>
          <w:p>
            <w:pPr>
              <w:jc w:val="center"/>
              <w:rPr>
                <w:rFonts w:ascii="Times New Roman" w:eastAsia="Times New Roman" w:hAnsi="Times New Roman" w:cs="Times New Roman"/>
                <w:b/>
                <w:bCs/>
              </w:rPr>
            </w:pPr>
            <w:r>
              <w:rPr>
                <w:rFonts w:ascii="Times New Roman" w:eastAsia="Times New Roman" w:hAnsi="Times New Roman" w:cs="Times New Roman"/>
                <w:b/>
                <w:bCs/>
              </w:rPr>
              <w:t xml:space="preserve">Names</w:t>
            </w:r>
          </w:p>
        </w:tc>
        <w:tc>
          <w:tcPr>
            <w:tcW w:w="3274" w:type="dxa"/>
          </w:tcPr>
          <w:p>
            <w:pPr>
              <w:jc w:val="center"/>
              <w:rPr>
                <w:rFonts w:ascii="Times New Roman" w:eastAsia="Times New Roman" w:hAnsi="Times New Roman" w:cs="Times New Roman"/>
                <w:b/>
                <w:bCs/>
              </w:rPr>
            </w:pPr>
            <w:r>
              <w:rPr>
                <w:rFonts w:ascii="Times New Roman" w:eastAsia="Times New Roman" w:hAnsi="Times New Roman" w:cs="Times New Roman"/>
                <w:b/>
                <w:bCs/>
              </w:rPr>
              <w:t xml:space="preserve">Roll No.</w:t>
            </w:r>
          </w:p>
        </w:tc>
        <w:tc>
          <w:tcPr>
            <w:tcW w:w="3275" w:type="dxa"/>
          </w:tcPr>
          <w:p>
            <w:pPr>
              <w:jc w:val="center"/>
              <w:rPr>
                <w:rFonts w:ascii="Times New Roman" w:eastAsia="Times New Roman" w:hAnsi="Times New Roman" w:cs="Times New Roman"/>
                <w:b/>
                <w:bCs/>
              </w:rPr>
            </w:pPr>
            <w:r>
              <w:rPr>
                <w:rFonts w:ascii="Times New Roman" w:eastAsia="Times New Roman" w:hAnsi="Times New Roman" w:cs="Times New Roman"/>
                <w:b/>
                <w:bCs/>
              </w:rPr>
              <w:t xml:space="preserve">Signature</w:t>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Leena Shah</w:t>
            </w:r>
          </w:p>
        </w:tc>
        <w:tc>
          <w:tcPr>
            <w:tcW w:w="3274" w:type="dxa"/>
          </w:tcPr>
          <w:p>
            <w:pPr>
              <w:jc w:val="center"/>
              <w:rPr>
                <w:rFonts w:ascii="Times New Roman" w:hAnsi="Times New Roman"/>
                <w:b w:val="0"/>
                <w:sz w:val="24"/>
              </w:rPr>
            </w:pPr>
            <w:r>
              <w:rPr>
                <w:rFonts w:ascii="Times New Roman" w:hAnsi="Times New Roman"/>
                <w:b w:val="0"/>
                <w:sz w:val="24"/>
              </w:rPr>
              <w:t xml:space="preserve"/>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Omar Khan</w:t>
            </w:r>
          </w:p>
        </w:tc>
        <w:tc>
          <w:tcPr>
            <w:tcW w:w="3274" w:type="dxa"/>
          </w:tcPr>
          <w:p>
            <w:pPr>
              <w:jc w:val="center"/>
              <w:rPr>
                <w:rFonts w:ascii="Times New Roman" w:hAnsi="Times New Roman"/>
                <w:b w:val="0"/>
                <w:sz w:val="24"/>
              </w:rPr>
            </w:pPr>
            <w:r>
              <w:rPr>
                <w:rFonts w:ascii="Times New Roman" w:hAnsi="Times New Roman"/>
                <w:b w:val="0"/>
                <w:sz w:val="24"/>
              </w:rPr>
              <w:t xml:space="preserve"/>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Priya Nair</w:t>
            </w:r>
          </w:p>
        </w:tc>
        <w:tc>
          <w:tcPr>
            <w:tcW w:w="3274" w:type="dxa"/>
          </w:tcPr>
          <w:p>
            <w:pPr>
              <w:jc w:val="center"/>
              <w:rPr>
                <w:rFonts w:ascii="Times New Roman" w:hAnsi="Times New Roman"/>
                <w:b w:val="0"/>
                <w:sz w:val="24"/>
              </w:rPr>
            </w:pPr>
            <w:r>
              <w:rPr>
                <w:rFonts w:ascii="Times New Roman" w:hAnsi="Times New Roman"/>
                <w:b w:val="0"/>
                <w:sz w:val="24"/>
              </w:rPr>
              <w:t xml:space="preserve"/>
            </w:r>
          </w:p>
        </w:tc>
        <w:tc>
          <w:tcPr>
            <w:tcW w:w="3275" w:type="dxa"/>
          </w:tcPr>
          <w:p>
            <w:pPr>
              <w:jc w:val="center"/>
              <w:rPr>
                <w:rFonts w:ascii="Times New Roman" w:hAnsi="Times New Roman"/>
                <w:b w:val="0"/>
                <w:sz w:val="24"/>
              </w:rPr>
            </w:pPr>
            <w:r>
              <w:rPr>
                <w:rFonts w:ascii="Times New Roman" w:hAnsi="Times New Roman"/>
                <w:b w:val="0"/>
                <w:sz w:val="24"/>
              </w:rPr>
              <w:t xml:space="preserve"/>
            </w:r>
          </w:p>
        </w:tc>
      </w:tr>
    </w:tbl>
    <w:p>
      <w:pPr>
        <w:jc w:val="center"/>
      </w:pP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 Review Report</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Submitted for the Subject of</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Materials Engineering</w:t>
      </w:r>
    </w:p>
    <w:p>
      <w:pPr>
        <w:jc w:val="center"/>
      </w:pP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Under the Guidance of</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Prof. Arun Iyer</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Energy Storage Centre</w:t>
      </w:r>
    </w:p>
    <w:p>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A.Y. Final year</w:t>
      </w:r>
    </w:p>
    <w:p>
      <w:r>
        <w:br w:type="page"/>
      </w:r>
    </w:p>
    <w:p>
      <w:pPr>
        <w:jc w:val="center"/>
        <w:rPr>
          <w:rFonts w:ascii="Times New Roman" w:eastAsia="Times New Roman" w:hAnsi="Times New Roman" w:cs="Times New Roman"/>
          <w:b/>
          <w:bCs/>
          <w:sz w:val="44"/>
          <w:szCs w:val="44"/>
          <w:u w:val="single"/>
        </w:rPr>
      </w:pPr>
      <w:r>
        <w:rPr>
          <w:rFonts w:ascii="Times New Roman" w:eastAsia="Times New Roman" w:hAnsi="Times New Roman" w:cs="Times New Roman"/>
          <w:b/>
          <w:bCs/>
          <w:sz w:val="44"/>
          <w:szCs w:val="44"/>
          <w:u w:val="single"/>
        </w:rPr>
        <w:t xml:space="preserve">TABLE OF CONTENT</w:t>
      </w:r>
    </w:p>
    <w:tbl>
      <w:tblPr>
        <w:tblStyle w:val="a0"/>
        <w:tblW w:w="8677" w:type="dxa"/>
        <w:jc w:val="center"/>
        <w:tblLayout w:type="fixed"/>
        <w:tblLook w:val="0400" w:firstRow="0" w:lastRow="0" w:firstColumn="0" w:lastColumn="0" w:noHBand="0" w:noVBand="1"/>
      </w:tblPr>
      <w:tblGrid>
        <w:gridCol w:w="2883"/>
        <w:gridCol w:w="2910"/>
        <w:gridCol w:w="2884"/>
      </w:tblGrid>
      <w:tr>
        <w:trPr>
          <w:trHeight w:val="942"/>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SR. NO.</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TITLE</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PAGE NO.</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ABSTRACT</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ACKNOWLEDGEMENT</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INTRODUCTION</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THEORETICAL BACKGROUND</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APPLICATION</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FUTURE SCOPE</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CONCLUSION</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REFERENCES</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11</w:t>
            </w:r>
          </w:p>
        </w:tc>
      </w:tr>
    </w:tbl>
    <w:p>
      <w:r>
        <w:br w:type="page"/>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1. Abstract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This report contends that the viability of solid-state batteries for electric vehicles rests on three interdependent conditions: stable solid-solid interfaces, compatibility with high-volume manufacturing, and disciplined phased deployment. This framing is necessary because laboratory performance alone has repeatedly overstated readiness. Optimism has persisted for over a century, from early electric-vehicle literature in 1908 to present expectations, yet the historical record shows no battery equivalent to Moore's Law. The implication is that scale, rather than peak cell performance, remains the decisive test, and the long transition from laboratory demonstration to Gigafactory production must structure any credible assessment of electric-vehicle adoption.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first condition is control of interfacial failure, particularly dendritic penetration that persists despite replacement of liquid with solid electrolyte. Dendrite growth is a stochastic process, arising from unavoidable microscopic grain boundaries combined with small variations in defects, contact quality, and local current density, producing failures that are difficult to predict or detect deep inside sealed cells. Paradoxically, solid electrolytes, originally proposed as a remedy for dendrites, frequently create new pathways for their propagation and therefore remain the dominant failure mode for solid-state architectures. Consequently, uninterrupted ion transport across interfaces measured in atoms cannot be assumed from materials properties alone; it must be maintained under electrochemical and mechanical cycling if vehicle-scale reliability is to be achieved.</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second condition is translation of atomically demanding electrochemistry into processes governed by yield, cost, throughput, and defect tolerance. Laboratory cells are carefully prepared, gently cycled, and mechanically constrained, conditions that do not readily extend to producing millions of cells per month that must endure variability, vibration, thermal gradients, fast charging, and years of abuse. Solid-state designs add distinct manufacturing risks relative to liquid-electrolyte cells, including ultra-flat interfaces, high stack pressures, brittle ceramic layers, and extreme moisture control, while brittle ceramics are susceptible to crack proliferation from microscopic flaws. Because even small defect rates become catastrophic when multiplied across millions of cells, designs that perform well in the laboratory degrade rapidly unless variability is eliminated; until this alignment is reached, scale will dominate over performance as the principal barrier.</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third condition is a staged market trajectory that acknowledges both industrial geography and competition from improving alternatives. Once industrialization challenges are overcome, launch is expected in three phases, beginning where performance outweighs cost such as racing and aviation, extending to high-priced vehicle segments, and only then enabling widespread disruption across passenger cars, trucks, buses, and eVTOLs. This sequencing matters because current lithium-ion production is dominated by Chinese manufacturers supplying more than 50 percent of the global market, while patent activity from 2003 to 2022 places Japan ahead of China, the United States, and South Korea, indicating a possible shift in leadership. Meanwhile, incremental lithium-ion gains through improved electrolytes, silicon-rich anodes, thermal management, and battery management, together with sodium-ion for cost-sensitive and grid-storage roles, mean that solid-state entry must displace a moving incumbent; hence cautious continued research, rather than compressed timelines, constitutes responsible engineering.</w:t>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2. Acknowledgement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I would like to express my sincere gratitude to my guide for their patient guidance, critical feedback, and constant encouragement throughout the preparation of this report, and to the Department of Materials Engineering for providing the academic environment and resources that made this work possible.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I am also deeply thankful to the researchers, authors, and reviewers whose published work on solid electrolytes, gigafactory manufacturing processes, and EV battery systems informed this synthesis, and to the broader technical literature that helped clarify complex questions of materials, scale, and deployment.</w:t>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3. Introduction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expectation that solving the battery problem will decisively favour the electric vehicle long predates the current solid-state debate. Writing in 1908, when electric and gasoline vehicles competed directly on city streets, Walter Poynter Adams urged readers to be prepared for very great strides to be made when the battery problem is solved, or even rendered a degree less difficult, and argued that given a light and durable battery, the electric car would soon outstrip even petrol on town and suburban roads. The underlying assumption, then as now, was that superior chemistry alone would secure widespread adoption and displace gasoline vehicles. This continuity establishes present promises as the latest iteration of a century-long pattern rather than an unprecedented rupture.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contemporary cycle reproduces that pattern through successive corporate announcements. Over the past few years, companies ranging from Toyota and Dyson to startups such as Fisker and QuantumScape have promised breakthroughs that would dramatically improve range, safety and charging speed, while most recently renewed attention has followed announcements from Donut Labs, which claim to have produced the first mass-produced solid-state battery ready for shipment. Such expectations help explain why solid-state batteries are widely believed to represent the next great leap forward, yet that leap seems perpetually three to five years in the future. The implication is that headline momentum persists independently of demonstrated readiness for deployment.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These claims possess genuine technical plausibility because laboratory results have validated core electrochemical advantages. By replacing flammable liquid electrolytes with solid materials, solid-state designs promise safer cells, higher operating voltages and, most enticingly, the possibility of lithium-metal anodes, a combination that in theory could yield significant improvements in energy density for electric vehicles, aviation and grid storage. At the same time, many so-called solid-state designs still rely on hybrid architectures that include gels, polymers or liquid-assisted interfaces, pragmatic responses to difficult physics that complicate any claim of a fundamental transformation to the solid state. Laboratory demonstration therefore confirms that the physics can work, without establishing what is truly solid in a manufacturable product.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central question framed here is therefore not whether solid-state batteries can function, but whether they can work reliably, economically and at an industrial scale. History indicates that promising physics does not automatically lend itself to investment-worthy production at scale, and despite over a century of optimism there is no battery equivalent to Moore's Law, so the journey from laboratory to Gigafactory floor remains long and hard-won. Until designs align with the realities of high-volume manufacturing, scale will remain the dominant obstacle rather than performance, which is why this report adopts informed optimism with disciplined skepticism. It asks what problems solid-state batteries genuinely solve, which challenges remain unresolved, and why promising laboratory results so often struggle to translate into large-scale production.</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Timeline of recurring expectations that an improved battery will transform electric vehicles, from early electric-petrol competition to present solid-state claims.</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Period</w:t>
            </w:r>
          </w:p>
        </w:tc>
        <w:tc>
          <w:tcPr>
            <w:tcW w:w="3008" w:type="dxa"/>
          </w:tcPr>
          <w:p>
            <w:r>
              <w:rPr>
                <w:rFonts w:ascii="Times New Roman" w:hAnsi="Times New Roman"/>
                <w:b/>
                <w:sz w:val="24"/>
              </w:rPr>
              <w:t xml:space="preserve">Public Expectation</w:t>
            </w:r>
          </w:p>
        </w:tc>
        <w:tc>
          <w:tcPr>
            <w:tcW w:w="3010" w:type="dxa"/>
          </w:tcPr>
          <w:p>
            <w:r>
              <w:rPr>
                <w:rFonts w:ascii="Times New Roman" w:hAnsi="Times New Roman"/>
                <w:b/>
                <w:sz w:val="24"/>
              </w:rPr>
              <w:t xml:space="preserve">Technical and Manufacturing Reality</w:t>
            </w:r>
          </w:p>
        </w:tc>
      </w:tr>
      <w:tr>
        <w:tc>
          <w:tcPr>
            <w:tcW w:w="3008" w:type="dxa"/>
          </w:tcPr>
          <w:p>
            <w:r>
              <w:rPr>
                <w:rFonts w:ascii="Times New Roman" w:hAnsi="Times New Roman"/>
                <w:b w:val="0"/>
                <w:sz w:val="24"/>
              </w:rPr>
              <w:t xml:space="preserve">1908</w:t>
            </w:r>
          </w:p>
        </w:tc>
        <w:tc>
          <w:tcPr>
            <w:tcW w:w="3008" w:type="dxa"/>
          </w:tcPr>
          <w:p>
            <w:r>
              <w:rPr>
                <w:rFonts w:ascii="Times New Roman" w:hAnsi="Times New Roman"/>
                <w:b w:val="0"/>
                <w:sz w:val="24"/>
              </w:rPr>
              <w:t xml:space="preserve">A light and durable battery would let the electric car outstrip petrol on town and suburban roads</w:t>
            </w:r>
          </w:p>
        </w:tc>
        <w:tc>
          <w:tcPr>
            <w:tcW w:w="3010" w:type="dxa"/>
          </w:tcPr>
          <w:p>
            <w:r>
              <w:rPr>
                <w:rFonts w:ascii="Times New Roman" w:hAnsi="Times New Roman"/>
                <w:b w:val="0"/>
                <w:sz w:val="24"/>
              </w:rPr>
              <w:t xml:space="preserve">Electric and gasoline vehicles competed directly on city streets pending solution of the battery problem</w:t>
            </w:r>
          </w:p>
        </w:tc>
      </w:tr>
      <w:tr>
        <w:tc>
          <w:tcPr>
            <w:tcW w:w="3008" w:type="dxa"/>
          </w:tcPr>
          <w:p>
            <w:r>
              <w:rPr>
                <w:rFonts w:ascii="Times New Roman" w:hAnsi="Times New Roman"/>
                <w:b w:val="0"/>
                <w:sz w:val="24"/>
              </w:rPr>
              <w:t xml:space="preserve">Circa 1914</w:t>
            </w:r>
          </w:p>
        </w:tc>
        <w:tc>
          <w:tcPr>
            <w:tcW w:w="3008" w:type="dxa"/>
          </w:tcPr>
          <w:p>
            <w:r>
              <w:rPr>
                <w:rFonts w:ascii="Times New Roman" w:hAnsi="Times New Roman"/>
                <w:b w:val="0"/>
                <w:sz w:val="24"/>
              </w:rPr>
              <w:t xml:space="preserve">Detroit Electric vehicles continued in use alongside gasoline cars, reportedly preferred by Ford's wife Clara</w:t>
            </w:r>
          </w:p>
        </w:tc>
        <w:tc>
          <w:tcPr>
            <w:tcW w:w="3010" w:type="dxa"/>
          </w:tcPr>
          <w:p>
            <w:r>
              <w:rPr>
                <w:rFonts w:ascii="Times New Roman" w:hAnsi="Times New Roman"/>
                <w:b w:val="0"/>
                <w:sz w:val="24"/>
              </w:rPr>
              <w:t xml:space="preserve">Record of Ford and Edison with Detroit Electric EVs illustrates persistent electric interest</w:t>
            </w:r>
          </w:p>
        </w:tc>
      </w:tr>
      <w:tr>
        <w:tc>
          <w:tcPr>
            <w:tcW w:w="3008" w:type="dxa"/>
          </w:tcPr>
          <w:p>
            <w:r>
              <w:rPr>
                <w:rFonts w:ascii="Times New Roman" w:hAnsi="Times New Roman"/>
                <w:b w:val="0"/>
                <w:sz w:val="24"/>
              </w:rPr>
              <w:t xml:space="preserve">Past few years</w:t>
            </w:r>
          </w:p>
        </w:tc>
        <w:tc>
          <w:tcPr>
            <w:tcW w:w="3008" w:type="dxa"/>
          </w:tcPr>
          <w:p>
            <w:r>
              <w:rPr>
                <w:rFonts w:ascii="Times New Roman" w:hAnsi="Times New Roman"/>
                <w:b w:val="0"/>
                <w:sz w:val="24"/>
              </w:rPr>
              <w:t xml:space="preserve">Toyota, Dyson, Fisker and QuantumScape promised breakthroughs in range, safety and charging speed</w:t>
            </w:r>
          </w:p>
        </w:tc>
        <w:tc>
          <w:tcPr>
            <w:tcW w:w="3010" w:type="dxa"/>
          </w:tcPr>
          <w:p>
            <w:r>
              <w:rPr>
                <w:rFonts w:ascii="Times New Roman" w:hAnsi="Times New Roman"/>
                <w:b w:val="0"/>
                <w:sz w:val="24"/>
              </w:rPr>
              <w:t xml:space="preserve">Advantages well-founded in electrochemistry and physics yet leap remains perpetually 3-5 years in future</w:t>
            </w:r>
          </w:p>
        </w:tc>
      </w:tr>
      <w:tr>
        <w:tc>
          <w:tcPr>
            <w:tcW w:w="3008" w:type="dxa"/>
          </w:tcPr>
          <w:p>
            <w:r>
              <w:rPr>
                <w:rFonts w:ascii="Times New Roman" w:hAnsi="Times New Roman"/>
                <w:b w:val="0"/>
                <w:sz w:val="24"/>
              </w:rPr>
              <w:t xml:space="preserve">Most recent</w:t>
            </w:r>
          </w:p>
        </w:tc>
        <w:tc>
          <w:tcPr>
            <w:tcW w:w="3008" w:type="dxa"/>
          </w:tcPr>
          <w:p>
            <w:r>
              <w:rPr>
                <w:rFonts w:ascii="Times New Roman" w:hAnsi="Times New Roman"/>
                <w:b w:val="0"/>
                <w:sz w:val="24"/>
              </w:rPr>
              <w:t xml:space="preserve">Donut Labs claims first mass-produced solid-state battery ready for shipment</w:t>
            </w:r>
          </w:p>
        </w:tc>
        <w:tc>
          <w:tcPr>
            <w:tcW w:w="3010" w:type="dxa"/>
          </w:tcPr>
          <w:p>
            <w:r>
              <w:rPr>
                <w:rFonts w:ascii="Times New Roman" w:hAnsi="Times New Roman"/>
                <w:b w:val="0"/>
                <w:sz w:val="24"/>
              </w:rPr>
              <w:t xml:space="preserve">Renewed attention without demonstrated reliable, economic operation at industrial scale</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4. Theoretical Background</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Ion conduction in crystalline solids proceeds by localised hopping rather than by fluid-mediated transport. The research notes establish that cations such as Li+ or Na+ migrate through interstitial sites or via vacancies in the crystal lattice, with the surrounding atomic framework governing activation energies and defect concentrations. Oxide, sulphide and polymeric frameworks therefore define distinct migration landscapes, while structural motifs such as perovskites, garnets and argyrodites provide tailored channels for ion migration. Conductivity can consequently be modified by aliovalent doping to generate vacancies, by engineering lattice polarisability to lower migration barriers, and by optimising composite architectures. The implication is that ionic conductivity is not a fixed material constant but a designable outcome of defect chemistry and lattice geometry.</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Bulk pathways alone do not determine practical transport because grain boundaries and lattice dynamics impose additional constraints. Grain boundaries can both enhance and impede conduction depending on microstructure and interface chemistry, with high grain boundary resistance identified as a particular limitation of oxide electrolytes. Synthesis conditions affect phase purity, mechanical robustness and Li+ mobility, especially in argyrodite and NASICON-type materials, while pressure, temperature and dopant selection influence ionic pathways and interfacial stability. Frequency-dependent studies further reveal dual relaxation processes, associating fast cation jumps with high frequencies and slower lattice-relaxation-limited transport with low frequencies, interpreted through asymmetric energy landscapes for hopping and rotational disorder of complex anions. Proposed remedies therefore emphasise microstructural control, interface engineering and mixed-anion frameworks.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Even high bulk conductivity is electrochemically ineffective without continuous atomic-scale contact between electrode and electrolyte. All batteries are described as relying on uninterrupted ion transport across interfaces measured in atoms rather than millimetres. Liquid electrolytes accommodate this requirement because they flow, conform and self-heal, maintaining contact during electrode expansion, contraction and vibration. Solid electrolytes, by contrast, must sustain the same continuity across rigid and often brittle interfaces prone to cracking, void formation and contact loss, including during vibration and thermal cycling of solids with different coefficients of thermal expansion. Because this degradation is subtle, invisible externally and cumulative over extended cycling, chemo-mechanical stability and electrode compatibility become as decisive as conductivity for durable operation.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Non-uniform deposition transforms reversible plating into dendritic failure along pre-existing solid-state defects. During charging, lithium ions are driven from the cathode through the electrolyte back to the anode, where they regain electrons and recombine as lithium atoms in what is operationally a metal-plating process. If current density is uneven, interfaces contain defects such as grain boundaries, or mechanical contact is imperfect, lithium deposits preferentially at microscopic hot spots that develop into needle-like metallic dendrites. Within a solid electrolyte these structures can propagate along grain boundaries; on reaching the cathode they cause internal shorting, accelerated local heating and likely thermal runaway. Growth is stochastic, sensitive to small variations in defects and contact quality, concealed inside sealed cells and difficult to predict or detect. Although solid electrolytes were originally proposed as a barrier to dendrites, they therefore often provide new pathways for such growth, making dendrites the dominant failure mode of the architecture.</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Comparison of solid-electrolyte framework families and their ion-transport considerations.</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Framework family</w:t>
            </w:r>
          </w:p>
        </w:tc>
        <w:tc>
          <w:tcPr>
            <w:tcW w:w="3008" w:type="dxa"/>
          </w:tcPr>
          <w:p>
            <w:r>
              <w:rPr>
                <w:rFonts w:ascii="Times New Roman" w:hAnsi="Times New Roman"/>
                <w:b/>
                <w:sz w:val="24"/>
              </w:rPr>
              <w:t xml:space="preserve">Representative motif</w:t>
            </w:r>
          </w:p>
        </w:tc>
        <w:tc>
          <w:tcPr>
            <w:tcW w:w="3010" w:type="dxa"/>
          </w:tcPr>
          <w:p>
            <w:r>
              <w:rPr>
                <w:rFonts w:ascii="Times New Roman" w:hAnsi="Times New Roman"/>
                <w:b/>
                <w:sz w:val="24"/>
              </w:rPr>
              <w:t xml:space="preserve">Transport implication</w:t>
            </w:r>
          </w:p>
        </w:tc>
      </w:tr>
      <w:tr>
        <w:tc>
          <w:tcPr>
            <w:tcW w:w="3008" w:type="dxa"/>
          </w:tcPr>
          <w:p>
            <w:r>
              <w:rPr>
                <w:rFonts w:ascii="Times New Roman" w:hAnsi="Times New Roman"/>
                <w:b w:val="0"/>
                <w:sz w:val="24"/>
              </w:rPr>
              <w:t xml:space="preserve">Oxide</w:t>
            </w:r>
          </w:p>
        </w:tc>
        <w:tc>
          <w:tcPr>
            <w:tcW w:w="3008" w:type="dxa"/>
          </w:tcPr>
          <w:p>
            <w:r>
              <w:rPr>
                <w:rFonts w:ascii="Times New Roman" w:hAnsi="Times New Roman"/>
                <w:b w:val="0"/>
                <w:sz w:val="24"/>
              </w:rPr>
              <w:t xml:space="preserve">Garnet, perovskite, NASICON</w:t>
            </w:r>
          </w:p>
        </w:tc>
        <w:tc>
          <w:tcPr>
            <w:tcW w:w="3010" w:type="dxa"/>
          </w:tcPr>
          <w:p>
            <w:r>
              <w:rPr>
                <w:rFonts w:ascii="Times New Roman" w:hAnsi="Times New Roman"/>
                <w:b w:val="0"/>
                <w:sz w:val="24"/>
              </w:rPr>
              <w:t xml:space="preserve">Interconnected channels but high grain boundary resistance</w:t>
            </w:r>
          </w:p>
        </w:tc>
      </w:tr>
      <w:tr>
        <w:tc>
          <w:tcPr>
            <w:tcW w:w="3008" w:type="dxa"/>
          </w:tcPr>
          <w:p>
            <w:r>
              <w:rPr>
                <w:rFonts w:ascii="Times New Roman" w:hAnsi="Times New Roman"/>
                <w:b w:val="0"/>
                <w:sz w:val="24"/>
              </w:rPr>
              <w:t xml:space="preserve">Sulphide</w:t>
            </w:r>
          </w:p>
        </w:tc>
        <w:tc>
          <w:tcPr>
            <w:tcW w:w="3008" w:type="dxa"/>
          </w:tcPr>
          <w:p>
            <w:r>
              <w:rPr>
                <w:rFonts w:ascii="Times New Roman" w:hAnsi="Times New Roman"/>
                <w:b w:val="0"/>
                <w:sz w:val="24"/>
              </w:rPr>
              <w:t xml:space="preserve">Argyrodite thiophosphate</w:t>
            </w:r>
          </w:p>
        </w:tc>
        <w:tc>
          <w:tcPr>
            <w:tcW w:w="3010" w:type="dxa"/>
          </w:tcPr>
          <w:p>
            <w:r>
              <w:rPr>
                <w:rFonts w:ascii="Times New Roman" w:hAnsi="Times New Roman"/>
                <w:b w:val="0"/>
                <w:sz w:val="24"/>
              </w:rPr>
              <w:t xml:space="preserve">Open framework facilitating high alkali-ion mobility</w:t>
            </w:r>
          </w:p>
        </w:tc>
      </w:tr>
      <w:tr>
        <w:tc>
          <w:tcPr>
            <w:tcW w:w="3008" w:type="dxa"/>
          </w:tcPr>
          <w:p>
            <w:r>
              <w:rPr>
                <w:rFonts w:ascii="Times New Roman" w:hAnsi="Times New Roman"/>
                <w:b w:val="0"/>
                <w:sz w:val="24"/>
              </w:rPr>
              <w:t xml:space="preserve">Polymer and composite</w:t>
            </w:r>
          </w:p>
        </w:tc>
        <w:tc>
          <w:tcPr>
            <w:tcW w:w="3008" w:type="dxa"/>
          </w:tcPr>
          <w:p>
            <w:r>
              <w:rPr>
                <w:rFonts w:ascii="Times New Roman" w:hAnsi="Times New Roman"/>
                <w:b w:val="0"/>
                <w:sz w:val="24"/>
              </w:rPr>
              <w:t xml:space="preserve">Mixed-anion and composite architecture</w:t>
            </w:r>
          </w:p>
        </w:tc>
        <w:tc>
          <w:tcPr>
            <w:tcW w:w="3010" w:type="dxa"/>
          </w:tcPr>
          <w:p>
            <w:r>
              <w:rPr>
                <w:rFonts w:ascii="Times New Roman" w:hAnsi="Times New Roman"/>
                <w:b w:val="0"/>
                <w:sz w:val="24"/>
              </w:rPr>
              <w:t xml:space="preserve">Combines bulk conductivity with lower interfacial resistance</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5. Application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Manufacturing at gigafactory volume redefines success from electrochemical performance to industrial discipline governed by yield, cost, throughput and defect tolerance. Laboratory cells are carefully prepared, gently cycled and often held under deliberate mechanical constraints, conditions that demonstrate feasibility without proving manufacturability. Production of millions of cells per month inverts that logic, requiring tolerance of variability, vibration, thermal gradients, fast charging and years of real-world abuse. In that environment even small defect rates become catastrophic when multiplied across output, so scale remains the dominant obstacle rather than isolated cell performance and the progression to the factory floor remains long and hard-won.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introduction of brittle ceramic electrolyte layers imposes flatness and flaw-control demands that conventional battery lines were never designed to meet. Mechanically, ceramics are hard and strong in compression yet weak in shear and tension, and most ceramics and glass-ceramics exhibit low and inconsistent fracture toughness, meaning limited ability to resist crack growth from inherent microstructural flaws. Processing commonly leaves a wide distribution of microscopic flaws that plays a detrimental role during sintering, promoting proliferation of cracks and ultimate mechanical failure. The consequence is that achieving sufficient precision and durability in thin, ultra-flat ceramic membranes is difficult and costly, and any residual crack, pinhole or uneven contact directly interrupts the cell.</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Continuous operation further requires uninterrupted ion transport across interfaces measured in atoms rather than millimetres, a condition that breathing electrodes and vehicle environments constantly threaten. Liquid electrolytes accommodate this requirement because they flow, conform and self-heal, preserving contact as electrodes expand, contract and vibrate. Solid electrolytes must sustain the same atomic-scale continuity across rigid and often brittle interfaces that are prone to cracking, void formation and contact loss, including during vibration and thermal cycling of bonded solids with different coefficients of thermal expansion. High stack pressures and ultra-flat interfaces are therefore imposed to force solids together, yet such constraint is difficult to maintain uniformly over thousands of charge cycles and within automotive packaging, making contact durability an underestimated barrier.</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Together these constraints leave no room for manufacturing variability in anode, cathode and electrolyte if ion conduction is to be preserved. A design that performs well under controlled cycling degrades rapidly once exposed to dimensional variation, thermal non-uniformity and mechanical disturbance, because completion of the circuit depends on atomic-scale contact at every point. Added requirements for high stack pressure, brittle-layer handling and extreme moisture control each introduce new risk relative to liquid-electrolyte cells rather than incremental refinement. Until architectures and processes align with high-volume realities of defect tolerance and stable through-life contact, solid-state technology cannot translate laboratory ion transport into reliable electric-vehicle output, a history consistent with the absence of any battery equivalent to Moore's Law.</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Laboratory practice compared with gigafactory requirements for solid-state cells.</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Condition</w:t>
            </w:r>
          </w:p>
        </w:tc>
        <w:tc>
          <w:tcPr>
            <w:tcW w:w="3008" w:type="dxa"/>
          </w:tcPr>
          <w:p>
            <w:r>
              <w:rPr>
                <w:rFonts w:ascii="Times New Roman" w:hAnsi="Times New Roman"/>
                <w:b/>
                <w:sz w:val="24"/>
              </w:rPr>
              <w:t xml:space="preserve">Laboratory practice</w:t>
            </w:r>
          </w:p>
        </w:tc>
        <w:tc>
          <w:tcPr>
            <w:tcW w:w="3010" w:type="dxa"/>
          </w:tcPr>
          <w:p>
            <w:r>
              <w:rPr>
                <w:rFonts w:ascii="Times New Roman" w:hAnsi="Times New Roman"/>
                <w:b/>
                <w:sz w:val="24"/>
              </w:rPr>
              <w:t xml:space="preserve">Gigafactory requirement</w:t>
            </w:r>
          </w:p>
        </w:tc>
      </w:tr>
      <w:tr>
        <w:tc>
          <w:tcPr>
            <w:tcW w:w="3008" w:type="dxa"/>
          </w:tcPr>
          <w:p>
            <w:r>
              <w:rPr>
                <w:rFonts w:ascii="Times New Roman" w:hAnsi="Times New Roman"/>
                <w:b w:val="0"/>
                <w:sz w:val="24"/>
              </w:rPr>
              <w:t xml:space="preserve">Cell preparation</w:t>
            </w:r>
          </w:p>
        </w:tc>
        <w:tc>
          <w:tcPr>
            <w:tcW w:w="3008" w:type="dxa"/>
          </w:tcPr>
          <w:p>
            <w:r>
              <w:rPr>
                <w:rFonts w:ascii="Times New Roman" w:hAnsi="Times New Roman"/>
                <w:b w:val="0"/>
                <w:sz w:val="24"/>
              </w:rPr>
              <w:t xml:space="preserve">Carefully prepared and gently cycled cells</w:t>
            </w:r>
          </w:p>
        </w:tc>
        <w:tc>
          <w:tcPr>
            <w:tcW w:w="3010" w:type="dxa"/>
          </w:tcPr>
          <w:p>
            <w:r>
              <w:rPr>
                <w:rFonts w:ascii="Times New Roman" w:hAnsi="Times New Roman"/>
                <w:b w:val="0"/>
                <w:sz w:val="24"/>
              </w:rPr>
              <w:t xml:space="preserve">Millions of cells per month with inherent variability</w:t>
            </w:r>
          </w:p>
        </w:tc>
      </w:tr>
      <w:tr>
        <w:tc>
          <w:tcPr>
            <w:tcW w:w="3008" w:type="dxa"/>
          </w:tcPr>
          <w:p>
            <w:r>
              <w:rPr>
                <w:rFonts w:ascii="Times New Roman" w:hAnsi="Times New Roman"/>
                <w:b w:val="0"/>
                <w:sz w:val="24"/>
              </w:rPr>
              <w:t xml:space="preserve">Mechanical environment</w:t>
            </w:r>
          </w:p>
        </w:tc>
        <w:tc>
          <w:tcPr>
            <w:tcW w:w="3008" w:type="dxa"/>
          </w:tcPr>
          <w:p>
            <w:r>
              <w:rPr>
                <w:rFonts w:ascii="Times New Roman" w:hAnsi="Times New Roman"/>
                <w:b w:val="0"/>
                <w:sz w:val="24"/>
              </w:rPr>
              <w:t xml:space="preserve">Controlled constraint under static load</w:t>
            </w:r>
          </w:p>
        </w:tc>
        <w:tc>
          <w:tcPr>
            <w:tcW w:w="3010" w:type="dxa"/>
          </w:tcPr>
          <w:p>
            <w:r>
              <w:rPr>
                <w:rFonts w:ascii="Times New Roman" w:hAnsi="Times New Roman"/>
                <w:b w:val="0"/>
                <w:sz w:val="24"/>
              </w:rPr>
              <w:t xml:space="preserve">Vibration, thermal gradients, fast charging and years of abuse</w:t>
            </w:r>
          </w:p>
        </w:tc>
      </w:tr>
      <w:tr>
        <w:tc>
          <w:tcPr>
            <w:tcW w:w="3008" w:type="dxa"/>
          </w:tcPr>
          <w:p>
            <w:r>
              <w:rPr>
                <w:rFonts w:ascii="Times New Roman" w:hAnsi="Times New Roman"/>
                <w:b w:val="0"/>
                <w:sz w:val="24"/>
              </w:rPr>
              <w:t xml:space="preserve">Interface continuity</w:t>
            </w:r>
          </w:p>
        </w:tc>
        <w:tc>
          <w:tcPr>
            <w:tcW w:w="3008" w:type="dxa"/>
          </w:tcPr>
          <w:p>
            <w:r>
              <w:rPr>
                <w:rFonts w:ascii="Times New Roman" w:hAnsi="Times New Roman"/>
                <w:b w:val="0"/>
                <w:sz w:val="24"/>
              </w:rPr>
              <w:t xml:space="preserve">Atomic-scale contact maintained by preparation</w:t>
            </w:r>
          </w:p>
        </w:tc>
        <w:tc>
          <w:tcPr>
            <w:tcW w:w="3010" w:type="dxa"/>
          </w:tcPr>
          <w:p>
            <w:r>
              <w:rPr>
                <w:rFonts w:ascii="Times New Roman" w:hAnsi="Times New Roman"/>
                <w:b w:val="0"/>
                <w:sz w:val="24"/>
              </w:rPr>
              <w:t xml:space="preserve">Ultra-flat interfaces and high stack pressures to prevent voids</w:t>
            </w:r>
          </w:p>
        </w:tc>
      </w:tr>
      <w:tr>
        <w:tc>
          <w:tcPr>
            <w:tcW w:w="3008" w:type="dxa"/>
          </w:tcPr>
          <w:p>
            <w:r>
              <w:rPr>
                <w:rFonts w:ascii="Times New Roman" w:hAnsi="Times New Roman"/>
                <w:b w:val="0"/>
                <w:sz w:val="24"/>
              </w:rPr>
              <w:t xml:space="preserve">Ceramic quality</w:t>
            </w:r>
          </w:p>
        </w:tc>
        <w:tc>
          <w:tcPr>
            <w:tcW w:w="3008" w:type="dxa"/>
          </w:tcPr>
          <w:p>
            <w:r>
              <w:rPr>
                <w:rFonts w:ascii="Times New Roman" w:hAnsi="Times New Roman"/>
                <w:b w:val="0"/>
                <w:sz w:val="24"/>
              </w:rPr>
              <w:t xml:space="preserve">Selected coupons with limited flaws</w:t>
            </w:r>
          </w:p>
        </w:tc>
        <w:tc>
          <w:tcPr>
            <w:tcW w:w="3010" w:type="dxa"/>
          </w:tcPr>
          <w:p>
            <w:r>
              <w:rPr>
                <w:rFonts w:ascii="Times New Roman" w:hAnsi="Times New Roman"/>
                <w:b w:val="0"/>
                <w:sz w:val="24"/>
              </w:rPr>
              <w:t xml:space="preserve">Brittle layers where wide flaw distributions proliferate cracks</w:t>
            </w:r>
          </w:p>
        </w:tc>
      </w:tr>
      <w:tr>
        <w:tc>
          <w:tcPr>
            <w:tcW w:w="3008" w:type="dxa"/>
          </w:tcPr>
          <w:p>
            <w:r>
              <w:rPr>
                <w:rFonts w:ascii="Times New Roman" w:hAnsi="Times New Roman"/>
                <w:b w:val="0"/>
                <w:sz w:val="24"/>
              </w:rPr>
              <w:t xml:space="preserve">Success criterion</w:t>
            </w:r>
          </w:p>
        </w:tc>
        <w:tc>
          <w:tcPr>
            <w:tcW w:w="3008" w:type="dxa"/>
          </w:tcPr>
          <w:p>
            <w:r>
              <w:rPr>
                <w:rFonts w:ascii="Times New Roman" w:hAnsi="Times New Roman"/>
                <w:b w:val="0"/>
                <w:sz w:val="24"/>
              </w:rPr>
              <w:t xml:space="preserve">Electrochemical performance in isolation</w:t>
            </w:r>
          </w:p>
        </w:tc>
        <w:tc>
          <w:tcPr>
            <w:tcW w:w="3010" w:type="dxa"/>
          </w:tcPr>
          <w:p>
            <w:r>
              <w:rPr>
                <w:rFonts w:ascii="Times New Roman" w:hAnsi="Times New Roman"/>
                <w:b w:val="0"/>
                <w:sz w:val="24"/>
              </w:rPr>
              <w:t xml:space="preserve">Yield, cost, throughput and defect tolerance govern viability</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6. Future Scope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Initial market entry will occur where performance justifies cost rather than in mainstream electric vehicles. This sequencing follows the expectation that, once industrialisation challenges have been overcome, deployment proceeds in three phases, beginning with applications in which performance takes precedence over cost, exemplified by racing and aviation. Such niches tolerate bespoke integration and elevated cost because higher energy density, improved safety and faster charging confer decisive operational value. The implication for materials engineering is that early qualification will reward demonstrable electrochemical superiority under demanding duty cycles rather than gigafactory-compatible cost and throughput.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second stage extends adoption to high-priced vehicle segments once performance demonstrably outpaces the competition. In this intermediate market, premium electric vehicles can absorb early manufacturing inefficiencies while validating the central solid-state proposition of replacing flammable liquid electrolytes with solid materials to enable safer cells, higher operating voltages and lithium-metal anodes. Laboratory demonstrations have already validated many of these attributes, but premium service provides field evidence on lifecycle behaviour outside carefully prepared cells. Premium deployment therefore functions as both a commercial beachhead and an engineering proving ground before any broader displacement can be sustained.</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Widespread disruption will be delayed because the competitive target is advancing rather than static. Conventional lithium-ion technology continues to improve incrementally but relentlessly through better electrolytes, silicon-rich anodes, improved thermal management and smarter battery management systems, gains that are immediately deployable and manufacturable within established industry practice. With Chinese cell manufacturers supplying more than 50 percent of the global lithium-ion market, scale economies further raise the threshold for displacement. This explains why solid-state batteries occupy a position as the anticipated next great leap that remains perpetually three to five years in the future, with mass introduction conditional on significant cost and performance improvements rather than laboratory demonstration alone.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long-term outcome is more likely to be segmentation than wholesale substitution, with chemistry matched to application requirements and leadership reshaped by innovation. Sodium-ion batteries are emerging as a viable alternative for cost-sensitive, safety-critical applications and for uses insensitive to mass density such as grid storage; they may not have a place in high-performance electric vehicles yet retain an important role in transport electrification and stationary storage. Within this segmented landscape, a solid-state technological breakthrough is projected to have a major impact on the passenger-car drivetrain portfolio and to extend to electrically powered aircraft similar to helicopters, trucks and buses, with widespread introduction for all applications only in the third disruptive phase. Patent analysis of the past two decades carried out by Porsche Consulting on publications from 2003 to 2022 places Japan as leader in solid-state development, followed by China, the United States and South Korea, while rapid growth in semi-solid and pure solid-state filings offers new entrants an opportunity to gain a foothold.</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Three-phase market launch expected once industrialisation challenges are overcome</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Phase</w:t>
            </w:r>
          </w:p>
        </w:tc>
        <w:tc>
          <w:tcPr>
            <w:tcW w:w="3008" w:type="dxa"/>
          </w:tcPr>
          <w:p>
            <w:r>
              <w:rPr>
                <w:rFonts w:ascii="Times New Roman" w:hAnsi="Times New Roman"/>
                <w:b/>
                <w:sz w:val="24"/>
              </w:rPr>
              <w:t xml:space="preserve">Priority market</w:t>
            </w:r>
          </w:p>
        </w:tc>
        <w:tc>
          <w:tcPr>
            <w:tcW w:w="3010" w:type="dxa"/>
          </w:tcPr>
          <w:p>
            <w:r>
              <w:rPr>
                <w:rFonts w:ascii="Times New Roman" w:hAnsi="Times New Roman"/>
                <w:b/>
                <w:sz w:val="24"/>
              </w:rPr>
              <w:t xml:space="preserve">Entry condition</w:t>
            </w:r>
          </w:p>
        </w:tc>
      </w:tr>
      <w:tr>
        <w:tc>
          <w:tcPr>
            <w:tcW w:w="3008" w:type="dxa"/>
          </w:tcPr>
          <w:p>
            <w:r>
              <w:rPr>
                <w:rFonts w:ascii="Times New Roman" w:hAnsi="Times New Roman"/>
                <w:b w:val="0"/>
                <w:sz w:val="24"/>
              </w:rPr>
              <w:t xml:space="preserve">1 - Performance primacy</w:t>
            </w:r>
          </w:p>
        </w:tc>
        <w:tc>
          <w:tcPr>
            <w:tcW w:w="3008" w:type="dxa"/>
          </w:tcPr>
          <w:p>
            <w:r>
              <w:rPr>
                <w:rFonts w:ascii="Times New Roman" w:hAnsi="Times New Roman"/>
                <w:b w:val="0"/>
                <w:sz w:val="24"/>
              </w:rPr>
              <w:t xml:space="preserve">Racing and aviation</w:t>
            </w:r>
          </w:p>
        </w:tc>
        <w:tc>
          <w:tcPr>
            <w:tcW w:w="3010" w:type="dxa"/>
          </w:tcPr>
          <w:p>
            <w:r>
              <w:rPr>
                <w:rFonts w:ascii="Times New Roman" w:hAnsi="Times New Roman"/>
                <w:b w:val="0"/>
                <w:sz w:val="24"/>
              </w:rPr>
              <w:t xml:space="preserve">Performance takes precedence over cost</w:t>
            </w:r>
          </w:p>
        </w:tc>
      </w:tr>
      <w:tr>
        <w:tc>
          <w:tcPr>
            <w:tcW w:w="3008" w:type="dxa"/>
          </w:tcPr>
          <w:p>
            <w:r>
              <w:rPr>
                <w:rFonts w:ascii="Times New Roman" w:hAnsi="Times New Roman"/>
                <w:b w:val="0"/>
                <w:sz w:val="24"/>
              </w:rPr>
              <w:t xml:space="preserve">2 - Premium extension</w:t>
            </w:r>
          </w:p>
        </w:tc>
        <w:tc>
          <w:tcPr>
            <w:tcW w:w="3008" w:type="dxa"/>
          </w:tcPr>
          <w:p>
            <w:r>
              <w:rPr>
                <w:rFonts w:ascii="Times New Roman" w:hAnsi="Times New Roman"/>
                <w:b w:val="0"/>
                <w:sz w:val="24"/>
              </w:rPr>
              <w:t xml:space="preserve">High-priced vehicle segments</w:t>
            </w:r>
          </w:p>
        </w:tc>
        <w:tc>
          <w:tcPr>
            <w:tcW w:w="3010" w:type="dxa"/>
          </w:tcPr>
          <w:p>
            <w:r>
              <w:rPr>
                <w:rFonts w:ascii="Times New Roman" w:hAnsi="Times New Roman"/>
                <w:b w:val="0"/>
                <w:sz w:val="24"/>
              </w:rPr>
              <w:t xml:space="preserve">Performance outpaces competing lithium-ion</w:t>
            </w:r>
          </w:p>
        </w:tc>
      </w:tr>
      <w:tr>
        <w:tc>
          <w:tcPr>
            <w:tcW w:w="3008" w:type="dxa"/>
          </w:tcPr>
          <w:p>
            <w:r>
              <w:rPr>
                <w:rFonts w:ascii="Times New Roman" w:hAnsi="Times New Roman"/>
                <w:b w:val="0"/>
                <w:sz w:val="24"/>
              </w:rPr>
              <w:t xml:space="preserve">3 - Disruption</w:t>
            </w:r>
          </w:p>
        </w:tc>
        <w:tc>
          <w:tcPr>
            <w:tcW w:w="3008" w:type="dxa"/>
          </w:tcPr>
          <w:p>
            <w:r>
              <w:rPr>
                <w:rFonts w:ascii="Times New Roman" w:hAnsi="Times New Roman"/>
                <w:b w:val="0"/>
                <w:sz w:val="24"/>
              </w:rPr>
              <w:t xml:space="preserve">All applications including eVTOLs, trucks and buses</w:t>
            </w:r>
          </w:p>
        </w:tc>
        <w:tc>
          <w:tcPr>
            <w:tcW w:w="3010" w:type="dxa"/>
          </w:tcPr>
          <w:p>
            <w:r>
              <w:rPr>
                <w:rFonts w:ascii="Times New Roman" w:hAnsi="Times New Roman"/>
                <w:b w:val="0"/>
                <w:sz w:val="24"/>
              </w:rPr>
              <w:t xml:space="preserve">Significant cost and performance improvements enable widespread introduction</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7. Conclusion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promise of the solid electrolyte cell is electrochemically credible, yet credibility alone cannot displace the liquid electrolyte. Replacement of flammable liquids with solids offers in principle safer operation, higher operating voltages and access to lithium-metal anodes, with attendant gains in energy density and charging capability that laboratory demonstrations have confirmed. The fact that many present designs remain hybrids incorporating gels, polymers or liquid-assisted interlayers does not invalidate the concept, but it shows that a sharp binary transition has yet to be achieved. The implication is that optimism is warranted by physics, while displacement remains unwarranted until that physics is embodied in a truly solid and stable device.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Durable operation depends first on preserving atomic-scale ion pathways between solids that cannot flow or self-repair. Unlike liquids that conform during expansion, contraction and vibration, rigid electrolytes are subject to cracking, void formation and loss of contact, a vulnerability aggravated when adjoining solids cycle thermally with different expansion behaviour over thousands of cycles. Where contact becomes imperfect or current distribution becomes uneven, lithium deposits preferentially at microscopic irregularities including grain boundaries and develops into needle-like dendrites that sequester active material as isolated metal and raise the risk of internal shorts. Because such growth proceeds stochastically deep within sealed enclosures and was originally expected to be suppressed by solids but is in practice redirected along new ceramic pathways, the conclusion is that interfacial integrity and defect control are prerequisites for reliability rather than refinements.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A second and distinct test is imposed by industrial production, where the governing criteria become economic and statistical rather than purely electrochemical. Cells fabricated under controlled conditions and operated under restrained mechanical loading and gentle cycling cannot be assumed to endure variability, vibration, thermal gradients, rapid charging and prolonged service abuse. High-volume fabrication adds demanding conditions including exceptionally flat mating surfaces, elevated stack compression, fragile ceramic films and stringent humidity exclusion, each of which introduces risk absent from conventional processing. Since even modest imperfection rates are amplified across output measured in millions of cells, and since battery history offers no rapid scaling law comparable to that in semiconductors, scale must be regarded as the decisive barrier that performance results alone do not remove.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Informed optimism therefore requires continued research coupled with disciplined expectation about timing and competition. Conventional lithium-ion chemistry continues to advance through improved electrolytes, silicon-enriched anodes, better thermal control and more capable management systems that benefit from established manufacturing competence and immediate deployability, while sodium-ion chemistry provides a credible option for cost-sensitive and stationary duties where mass density is secondary. Viewed alongside decades of aerospace and materials experience that place the anticipated breakthrough persistently several years ahead, this context reframes the central question from whether solid-state operation is possible to whether it can be made dependable, affordable and reproducible at factory scale. As with nuclear fusion, eventual success remains plausible, but until interfaces, defects and scale are jointly resolved, cautious reserve constitutes responsible engineering rather than dismissal.</w:t>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8. References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1. Adams, W. P. (1908). Electric and petrol-electric vehicles. Charles Griffin &amp; Co, London.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2. Journal of The Electrochemical Society. (2015). Review - Solid Electrolytes in Rechargeable Electrochemical Cells. Journal of The Electrochemical Society.</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3. Energy and Environmental Science. (2018). New horizons for inorganic solid state ion conductors. Royal Society of Chemistry.</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4. Nanomaterials. (2020). Sulfide and Oxide Inorganic Solid Electrolytes for All-Solid-State Li Batteries: A Review. MDPI.</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5. Physical Chemistry Chemical Physics. (2022). Ion transport mechanism in anhydrous lithium thiocyanate LiSCN Part II: frequency dependence and slow jump relaxation. Royal Society of Chemistry.</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6. Nature.com. (2024). Dendrite propagation along cracks and grain boundaries in solid electrolytes. Nature.com.</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7. BatteryDesign.net. (2026). Solid-state batteries: the long road from lab to gigafactory - atomic-scale contact, stack pressure and scale. BatteryDesign.net.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8. Porsche Consulting via Der Tagesspiegel. (2023). The long road to solid-state batteries: breathing, production industrialization and three-phase market launch. Der Tagesspiegel.</w:t>
      </w:r>
    </w:p>
    <w:sectPr w:rsidR="0024737E">
      <w:headerReference w:type="even" r:id="rId7"/>
      <w:headerReference w:type="default" r:id="rId8"/>
      <w:footerReference w:type="default" r:id="rId9"/>
      <w:headerReference w:type="firs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D0B80" w14:textId="77777777" w:rsidR="00C0163D" w:rsidRDefault="00C0163D">
      <w:pPr>
        <w:spacing w:after="0" w:line="240" w:lineRule="auto"/>
      </w:pPr>
      <w:r>
        <w:separator/>
      </w:r>
    </w:p>
  </w:endnote>
  <w:endnote w:type="continuationSeparator" w:id="0">
    <w:p w14:paraId="34E91128" w14:textId="77777777" w:rsidR="00C0163D" w:rsidRDefault="00C01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E491" w14:textId="77777777" w:rsidR="0024737E" w:rsidRDefault="00C0163D">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color w:val="000000"/>
      </w:rPr>
      <w:t xml:space="preserve"> | </w:t>
    </w:r>
    <w:r>
      <w:rPr>
        <w:color w:val="7F7F7F"/>
      </w:rPr>
      <w:t>Page</w:t>
    </w:r>
  </w:p>
  <w:p w14:paraId="42E45DCD" w14:textId="77777777" w:rsidR="0024737E" w:rsidRDefault="0024737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872C3" w14:textId="77777777" w:rsidR="00C0163D" w:rsidRDefault="00C0163D">
      <w:pPr>
        <w:spacing w:after="0" w:line="240" w:lineRule="auto"/>
      </w:pPr>
      <w:r>
        <w:separator/>
      </w:r>
    </w:p>
  </w:footnote>
  <w:footnote w:type="continuationSeparator" w:id="0">
    <w:p w14:paraId="6AED0DCB" w14:textId="77777777" w:rsidR="00C0163D" w:rsidRDefault="00C016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embedTrueTypeFonts/>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37E"/>
    <w:rsid w:val="0024737E"/>
    <w:rsid w:val="006B04B1"/>
    <w:rsid w:val="00C01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1B5BF35"/>
  <w15:docId w15:val="{BD96ADA3-9EA0-F64A-BC9C-02C81E4B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263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263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D4F"/>
    <w:rPr>
      <w:rFonts w:eastAsiaTheme="majorEastAsia" w:cstheme="majorBidi"/>
      <w:color w:val="272727" w:themeColor="text1" w:themeTint="D8"/>
    </w:rPr>
  </w:style>
  <w:style w:type="character" w:customStyle="1" w:styleId="TitleChar">
    <w:name w:val="Title Char"/>
    <w:basedOn w:val="DefaultParagraphFont"/>
    <w:link w:val="Title"/>
    <w:uiPriority w:val="10"/>
    <w:rsid w:val="00263D4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63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D4F"/>
    <w:pPr>
      <w:spacing w:before="160"/>
      <w:jc w:val="center"/>
    </w:pPr>
    <w:rPr>
      <w:i/>
      <w:iCs/>
      <w:color w:val="404040" w:themeColor="text1" w:themeTint="BF"/>
    </w:rPr>
  </w:style>
  <w:style w:type="character" w:customStyle="1" w:styleId="QuoteChar">
    <w:name w:val="Quote Char"/>
    <w:basedOn w:val="DefaultParagraphFont"/>
    <w:link w:val="Quote"/>
    <w:uiPriority w:val="29"/>
    <w:rsid w:val="00263D4F"/>
    <w:rPr>
      <w:i/>
      <w:iCs/>
      <w:color w:val="404040" w:themeColor="text1" w:themeTint="BF"/>
    </w:rPr>
  </w:style>
  <w:style w:type="paragraph" w:styleId="ListParagraph">
    <w:name w:val="List Paragraph"/>
    <w:basedOn w:val="Normal"/>
    <w:uiPriority w:val="34"/>
    <w:qFormat/>
    <w:rsid w:val="00263D4F"/>
    <w:pPr>
      <w:ind w:left="720"/>
      <w:contextualSpacing/>
    </w:pPr>
  </w:style>
  <w:style w:type="character" w:styleId="IntenseEmphasis">
    <w:name w:val="Intense Emphasis"/>
    <w:basedOn w:val="DefaultParagraphFont"/>
    <w:uiPriority w:val="21"/>
    <w:qFormat/>
    <w:rsid w:val="00263D4F"/>
    <w:rPr>
      <w:i/>
      <w:iCs/>
      <w:color w:val="2F5496" w:themeColor="accent1" w:themeShade="BF"/>
    </w:rPr>
  </w:style>
  <w:style w:type="paragraph" w:styleId="IntenseQuote">
    <w:name w:val="Intense Quote"/>
    <w:basedOn w:val="Normal"/>
    <w:next w:val="Normal"/>
    <w:link w:val="IntenseQuoteChar"/>
    <w:uiPriority w:val="30"/>
    <w:qFormat/>
    <w:rsid w:val="00263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D4F"/>
    <w:rPr>
      <w:i/>
      <w:iCs/>
      <w:color w:val="2F5496" w:themeColor="accent1" w:themeShade="BF"/>
    </w:rPr>
  </w:style>
  <w:style w:type="character" w:styleId="IntenseReference">
    <w:name w:val="Intense Reference"/>
    <w:basedOn w:val="DefaultParagraphFont"/>
    <w:uiPriority w:val="32"/>
    <w:qFormat/>
    <w:rsid w:val="00263D4F"/>
    <w:rPr>
      <w:b/>
      <w:bCs/>
      <w:smallCaps/>
      <w:color w:val="2F5496" w:themeColor="accent1" w:themeShade="BF"/>
      <w:spacing w:val="5"/>
    </w:rPr>
  </w:style>
  <w:style w:type="paragraph" w:styleId="Header">
    <w:name w:val="header"/>
    <w:basedOn w:val="Normal"/>
    <w:link w:val="HeaderChar"/>
    <w:uiPriority w:val="99"/>
    <w:unhideWhenUsed/>
    <w:rsid w:val="00263D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3D4F"/>
  </w:style>
  <w:style w:type="paragraph" w:styleId="Footer">
    <w:name w:val="footer"/>
    <w:basedOn w:val="Normal"/>
    <w:link w:val="FooterChar"/>
    <w:uiPriority w:val="99"/>
    <w:unhideWhenUsed/>
    <w:rsid w:val="00263D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3D4F"/>
  </w:style>
  <w:style w:type="table" w:styleId="PlainTable1">
    <w:name w:val="Plain Table 1"/>
    <w:basedOn w:val="TableNormal"/>
    <w:uiPriority w:val="41"/>
    <w:rsid w:val="00263D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pE2tFfyS4vl73pY61twnH2jfQ==">CgMxLjA4AHIhMXJOeW1OVWhCUDRfd3V3bXJFdWVfVFVjSUkzRV9SdGlH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1513</Words>
  <Characters>8627</Characters>
  <Application>Microsoft Office Word</Application>
  <DocSecurity>0</DocSecurity>
  <Lines>71</Lines>
  <Paragraphs>20</Paragraphs>
  <ScaleCrop>false</ScaleCrop>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Sonar</dc:creator>
  <cp:lastModifiedBy>Raunak Singh</cp:lastModifiedBy>
  <cp:revision>2</cp:revision>
  <dcterms:created xsi:type="dcterms:W3CDTF">2026-08-09T05:51:00Z</dcterms:created>
  <dcterms:modified xsi:type="dcterms:W3CDTF">2026-08-09T05:51:00Z</dcterms:modified>
</cp:coreProperties>
</file>