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 xml:space="preserve">Defeating Urban Heat Islands: Measurement, Cool Surfaces, and Equitable Protection</w:t>
      </w:r>
    </w:p>
    <w:p>
      <w:pPr>
        <w:jc w:val="center"/>
      </w:pPr>
    </w:p>
    <w:tbl>
      <w:tblPr>
        <w:tblStyle w:val="a"/>
        <w:tblW w:w="982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274"/>
        <w:gridCol w:w="3274"/>
        <w:gridCol w:w="3275"/>
      </w:tblGrid>
      <w:tr>
        <w:trPr>
          <w:trHeight w:val="349"/>
        </w:trPr>
        <w:tc>
          <w:tcPr>
            <w:tcW w:w="3274" w:type="dxa"/>
          </w:tcPr>
          <w:p>
            <w:pPr>
              <w:jc w:val="center"/>
              <w:rPr>
                <w:rFonts w:ascii="Times New Roman" w:eastAsia="Times New Roman" w:hAnsi="Times New Roman" w:cs="Times New Roman"/>
                <w:b/>
                <w:bCs/>
              </w:rPr>
            </w:pPr>
            <w:r>
              <w:rPr>
                <w:rFonts w:ascii="Times New Roman" w:eastAsia="Times New Roman" w:hAnsi="Times New Roman" w:cs="Times New Roman"/>
                <w:b/>
                <w:bCs/>
              </w:rPr>
              <w:t xml:space="preserve">Names</w:t>
            </w:r>
          </w:p>
        </w:tc>
        <w:tc>
          <w:tcPr>
            <w:tcW w:w="3274" w:type="dxa"/>
          </w:tcPr>
          <w:p>
            <w:pPr>
              <w:jc w:val="center"/>
              <w:rPr>
                <w:rFonts w:ascii="Times New Roman" w:eastAsia="Times New Roman" w:hAnsi="Times New Roman" w:cs="Times New Roman"/>
                <w:b/>
                <w:bCs/>
              </w:rPr>
            </w:pPr>
            <w:r>
              <w:rPr>
                <w:rFonts w:ascii="Times New Roman" w:eastAsia="Times New Roman" w:hAnsi="Times New Roman" w:cs="Times New Roman"/>
                <w:b/>
                <w:bCs/>
              </w:rPr>
              <w:t xml:space="preserve">Roll No.</w:t>
            </w:r>
          </w:p>
        </w:tc>
        <w:tc>
          <w:tcPr>
            <w:tcW w:w="3275" w:type="dxa"/>
          </w:tcPr>
          <w:p>
            <w:pPr>
              <w:jc w:val="center"/>
              <w:rPr>
                <w:rFonts w:ascii="Times New Roman" w:eastAsia="Times New Roman" w:hAnsi="Times New Roman" w:cs="Times New Roman"/>
                <w:b/>
                <w:bCs/>
              </w:rPr>
            </w:pPr>
            <w:r>
              <w:rPr>
                <w:rFonts w:ascii="Times New Roman" w:eastAsia="Times New Roman" w:hAnsi="Times New Roman" w:cs="Times New Roman"/>
                <w:b/>
                <w:bCs/>
              </w:rPr>
              <w:t xml:space="preserve">Signature</w:t>
            </w:r>
          </w:p>
        </w:tc>
      </w:tr>
      <w:tr>
        <w:trPr>
          <w:trHeight w:val="349"/>
        </w:trPr>
        <w:tc>
          <w:tcPr>
            <w:tcW w:w="3274" w:type="dxa"/>
          </w:tcPr>
          <w:p>
            <w:pPr>
              <w:jc w:val="center"/>
              <w:rPr>
                <w:rFonts w:ascii="Times New Roman" w:hAnsi="Times New Roman"/>
                <w:b w:val="0"/>
                <w:sz w:val="24"/>
              </w:rPr>
            </w:pPr>
            <w:r>
              <w:rPr>
                <w:rFonts w:ascii="Times New Roman" w:hAnsi="Times New Roman"/>
                <w:b w:val="0"/>
                <w:sz w:val="24"/>
              </w:rPr>
              <w:t xml:space="preserve">Asha Rao</w:t>
            </w:r>
          </w:p>
        </w:tc>
        <w:tc>
          <w:tcPr>
            <w:tcW w:w="3274" w:type="dxa"/>
          </w:tcPr>
          <w:p>
            <w:pPr>
              <w:jc w:val="center"/>
              <w:rPr>
                <w:rFonts w:ascii="Times New Roman" w:hAnsi="Times New Roman"/>
                <w:b w:val="0"/>
                <w:sz w:val="24"/>
              </w:rPr>
            </w:pPr>
            <w:r>
              <w:rPr>
                <w:rFonts w:ascii="Times New Roman" w:hAnsi="Times New Roman"/>
                <w:b w:val="0"/>
                <w:sz w:val="24"/>
              </w:rPr>
              <w:t xml:space="preserve"/>
            </w:r>
          </w:p>
        </w:tc>
        <w:tc>
          <w:tcPr>
            <w:tcW w:w="3275" w:type="dxa"/>
          </w:tcPr>
          <w:p>
            <w:pPr>
              <w:jc w:val="center"/>
              <w:rPr>
                <w:rFonts w:ascii="Times New Roman" w:hAnsi="Times New Roman"/>
                <w:b w:val="0"/>
                <w:sz w:val="24"/>
              </w:rPr>
            </w:pPr>
            <w:r>
              <w:rPr>
                <w:rFonts w:ascii="Times New Roman" w:hAnsi="Times New Roman"/>
                <w:b w:val="0"/>
                <w:sz w:val="24"/>
              </w:rPr>
              <w:t xml:space="preserve"/>
            </w:r>
          </w:p>
        </w:tc>
      </w:tr>
      <w:tr>
        <w:trPr>
          <w:trHeight w:val="349"/>
        </w:trPr>
        <w:tc>
          <w:tcPr>
            <w:tcW w:w="3274" w:type="dxa"/>
          </w:tcPr>
          <w:p>
            <w:pPr>
              <w:jc w:val="center"/>
              <w:rPr>
                <w:rFonts w:ascii="Times New Roman" w:hAnsi="Times New Roman"/>
                <w:b w:val="0"/>
                <w:sz w:val="24"/>
              </w:rPr>
            </w:pPr>
            <w:r>
              <w:rPr>
                <w:rFonts w:ascii="Times New Roman" w:hAnsi="Times New Roman"/>
                <w:b w:val="0"/>
                <w:sz w:val="24"/>
              </w:rPr>
              <w:t xml:space="preserve">Kabir Mehta</w:t>
            </w:r>
          </w:p>
        </w:tc>
        <w:tc>
          <w:tcPr>
            <w:tcW w:w="3274" w:type="dxa"/>
          </w:tcPr>
          <w:p>
            <w:pPr>
              <w:jc w:val="center"/>
              <w:rPr>
                <w:rFonts w:ascii="Times New Roman" w:hAnsi="Times New Roman"/>
                <w:b w:val="0"/>
                <w:sz w:val="24"/>
              </w:rPr>
            </w:pPr>
            <w:r>
              <w:rPr>
                <w:rFonts w:ascii="Times New Roman" w:hAnsi="Times New Roman"/>
                <w:b w:val="0"/>
                <w:sz w:val="24"/>
              </w:rPr>
              <w:t xml:space="preserve"/>
            </w:r>
          </w:p>
        </w:tc>
        <w:tc>
          <w:tcPr>
            <w:tcW w:w="3275" w:type="dxa"/>
          </w:tcPr>
          <w:p>
            <w:pPr>
              <w:jc w:val="center"/>
              <w:rPr>
                <w:rFonts w:ascii="Times New Roman" w:hAnsi="Times New Roman"/>
                <w:b w:val="0"/>
                <w:sz w:val="24"/>
              </w:rPr>
            </w:pPr>
            <w:r>
              <w:rPr>
                <w:rFonts w:ascii="Times New Roman" w:hAnsi="Times New Roman"/>
                <w:b w:val="0"/>
                <w:sz w:val="24"/>
              </w:rPr>
              <w:t xml:space="preserve"/>
            </w:r>
          </w:p>
        </w:tc>
      </w:tr>
      <w:tr>
        <w:trPr>
          <w:trHeight w:val="349"/>
        </w:trPr>
        <w:tc>
          <w:tcPr>
            <w:tcW w:w="3274" w:type="dxa"/>
          </w:tcPr>
          <w:p>
            <w:pPr>
              <w:jc w:val="center"/>
              <w:rPr>
                <w:rFonts w:ascii="Times New Roman" w:hAnsi="Times New Roman"/>
                <w:b w:val="0"/>
                <w:sz w:val="24"/>
              </w:rPr>
            </w:pPr>
            <w:r>
              <w:rPr>
                <w:rFonts w:ascii="Times New Roman" w:hAnsi="Times New Roman"/>
                <w:b w:val="0"/>
                <w:sz w:val="24"/>
              </w:rPr>
              <w:t xml:space="preserve">Nia Thomas</w:t>
            </w:r>
          </w:p>
        </w:tc>
        <w:tc>
          <w:tcPr>
            <w:tcW w:w="3274" w:type="dxa"/>
          </w:tcPr>
          <w:p>
            <w:pPr>
              <w:jc w:val="center"/>
              <w:rPr>
                <w:rFonts w:ascii="Times New Roman" w:hAnsi="Times New Roman"/>
                <w:b w:val="0"/>
                <w:sz w:val="24"/>
              </w:rPr>
            </w:pPr>
            <w:r>
              <w:rPr>
                <w:rFonts w:ascii="Times New Roman" w:hAnsi="Times New Roman"/>
                <w:b w:val="0"/>
                <w:sz w:val="24"/>
              </w:rPr>
              <w:t xml:space="preserve"/>
            </w:r>
          </w:p>
        </w:tc>
        <w:tc>
          <w:tcPr>
            <w:tcW w:w="3275" w:type="dxa"/>
          </w:tcPr>
          <w:p>
            <w:pPr>
              <w:jc w:val="center"/>
              <w:rPr>
                <w:rFonts w:ascii="Times New Roman" w:hAnsi="Times New Roman"/>
                <w:b w:val="0"/>
                <w:sz w:val="24"/>
              </w:rPr>
            </w:pPr>
            <w:r>
              <w:rPr>
                <w:rFonts w:ascii="Times New Roman" w:hAnsi="Times New Roman"/>
                <w:b w:val="0"/>
                <w:sz w:val="24"/>
              </w:rPr>
              <w:t xml:space="preserve"/>
            </w:r>
          </w:p>
        </w:tc>
      </w:tr>
    </w:tbl>
    <w:p>
      <w:pPr>
        <w:jc w:val="center"/>
      </w:pPr>
    </w:p>
    <w:p>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A Review Report</w:t>
      </w:r>
    </w:p>
    <w:p>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Submitted for the Subject of</w:t>
      </w:r>
    </w:p>
    <w:p>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Environmental Engineering</w:t>
      </w:r>
    </w:p>
    <w:p>
      <w:pPr>
        <w:jc w:val="center"/>
      </w:pPr>
    </w:p>
    <w:p>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Under the Guidance of</w:t>
      </w:r>
    </w:p>
    <w:p>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Dr. Mira Sen</w:t>
      </w:r>
    </w:p>
    <w:p>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Urban Systems Lab</w:t>
      </w:r>
    </w:p>
    <w:p>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A.Y. Final year</w:t>
      </w:r>
    </w:p>
    <w:p>
      <w:r>
        <w:br w:type="page"/>
      </w:r>
    </w:p>
    <w:p>
      <w:pPr>
        <w:jc w:val="center"/>
        <w:rPr>
          <w:rFonts w:ascii="Times New Roman" w:eastAsia="Times New Roman" w:hAnsi="Times New Roman" w:cs="Times New Roman"/>
          <w:b/>
          <w:bCs/>
          <w:sz w:val="44"/>
          <w:szCs w:val="44"/>
          <w:u w:val="single"/>
        </w:rPr>
      </w:pPr>
      <w:r>
        <w:rPr>
          <w:rFonts w:ascii="Times New Roman" w:eastAsia="Times New Roman" w:hAnsi="Times New Roman" w:cs="Times New Roman"/>
          <w:b/>
          <w:bCs/>
          <w:sz w:val="44"/>
          <w:szCs w:val="44"/>
          <w:u w:val="single"/>
        </w:rPr>
        <w:t xml:space="preserve">TABLE OF CONTENT</w:t>
      </w:r>
    </w:p>
    <w:tbl>
      <w:tblPr>
        <w:tblStyle w:val="a0"/>
        <w:tblW w:w="8677" w:type="dxa"/>
        <w:jc w:val="center"/>
        <w:tblLayout w:type="fixed"/>
        <w:tblLook w:val="0400" w:firstRow="0" w:lastRow="0" w:firstColumn="0" w:lastColumn="0" w:noHBand="0" w:noVBand="1"/>
      </w:tblPr>
      <w:tblGrid>
        <w:gridCol w:w="2883"/>
        <w:gridCol w:w="2910"/>
        <w:gridCol w:w="2884"/>
      </w:tblGrid>
      <w:tr>
        <w:trPr>
          <w:trHeight w:val="942"/>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SR. NO.</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TITLE</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PAGE NO.</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ABSTRACT</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ACKNOWLEDGEMENT</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INTRODUCTION</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THEORETICAL BACKGROUND</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MEASURING URBAN HEAT: ALBEDO TO STREET MAPPING</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7</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6</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APPLICATION</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8</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7</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PROTECTING VULNERABLE COMMUNITIES FROM EXTREME HEAT</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10</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8</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FUTURE SCOPE</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12</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9</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CONCLUSION</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13</w:t>
            </w:r>
          </w:p>
        </w:tc>
      </w:tr>
      <w:tr>
        <w:trPr>
          <w:trHeight w:val="845"/>
          <w:jc w:val="center"/>
        </w:trPr>
        <w:tc>
          <w:tcPr>
            <w:tcW w:w="288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10</w:t>
            </w:r>
          </w:p>
        </w:tc>
        <w:tc>
          <w:tcPr>
            <w:tcW w:w="29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REFERENCES</w:t>
            </w:r>
          </w:p>
        </w:tc>
        <w:tc>
          <w:tcPr>
            <w:tcW w:w="288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14</w:t>
            </w:r>
          </w:p>
        </w:tc>
      </w:tr>
    </w:tbl>
    <w:p>
      <w:r>
        <w:br w:type="page"/>
      </w:r>
    </w:p>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1. Abstract</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Hyperlocal heat inequity is now measurable at neighbourhood to street scale. WRI's Cool Cities Lab data platform enables hyperlocal heat-risk analysis and scenario modelling of cooling solutions, while Atlanta's commissioned 2023 Georgia Tech study mapped heat vulnerability across the city and found stark disparities among neighbourhoods. On a summer afternoon, temperatures in Atlanta's intown neighbourhoods can be 5.6 to 8.4 degrees C higher than in its most forested areas. WRI India research similarly found that lower-income wards in Mumbai are hotter than wealthier areas and lack vegetation, and central districts in Cape Town with dense development and busy pedestrian corridors lack the vegetation and shade needed to keep cool. The implication is that inequity is not anecdotal but quantifiable for targeted engineering intervention.</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Reflective cool surfaces deliver modelled, policy-relevant reductions in urban air temperature. Analysis by the city of Atlanta with the Smart Surfaces Coalition, developed in partnership with WRI using data now available in Cool Cities Lab, showed that upgrading roofs with reflective materials could lower citywide air temperatures by around 1.4 degrees C, with an even greater effect in historically redlined neighbourhoods of as much as 3.5 degrees C. These differences are rooted in urban form, where redlined areas have the lowest tree canopy and the highest asphalt, concrete and impervious coverage. On that evidence, the city council unanimously passed an ordinance in June 2025 mandating that all new and replacement roofs must be built with reflective cool materials beginning in 2026, demonstrating a direct path from measurement to cooling performance.</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Without equitable protection, measured heat translates into preventable mortality concentrated at home and among disadvantaged groups. In New York City, approximately 500 New Yorkers die prematurely because of hot weather each summer, comprising an average of 7 heat-stress deaths per year from 2016 to 2025 and about 490 heat-exacerbated deaths per year from 2014 to 2023, the latter accounting for about 3% of all deaths from May through September. Black New Yorkers had heat-stress death rates three times higher and Latino New Yorkers two times higher than white New Yorkers, at 1.2 and 1.0 deaths per million respectively compared with 0.4, with rates highest in neighbourhoods where more than 20% of residents live below the federal poverty level. People who died from heat stress were most frequently exposed in homes, and lack of access to home cooling remains an important risk factor, paralleled in Atlanta where less than 80% of Westside residents have home air conditioning compared with 96% elsewhere. Protection must therefore prioritise uncooled households.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Rising background heat makes equitable deployment of cooling an urgent mortality-prevention strategy. The number of days above 86 degrees F more than doubled from an average of 14 to 32 days per summer over five decades, and recent increases in heat-exacerbated deaths were driven mainly by hotter summers overall with more non-extreme hot days from 82 degrees F to below the 95 degrees F extreme-heat threshold. New York City surveillance concludes that emergency response must be coupled with equitable investments in structural interventions, including energy-efficient home cooling that residents can afford to run and tree planting and greening to reduce local temperatures while providing shade. With over 200 cities having joined the UN's Beat the Heat initiative, and evidence that there is no one-size-fits-all solution yet cooling solutions can work across contexts, the report argues that linking precise measurement to cool-surface deployment and prioritised protection can prevent deaths throughout the season.</w:t>
      </w:r>
    </w:p>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2. Acknowledgement</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The author wishes to express sincere gratitude to the faculty guide and the Department of Environmental Engineering for their valuable guidance, encouragement, and critical review throughout the preparation of this report on urban heat islands. Their insights on surface-energy processes, measurement methods, and equitable engineering practice greatly strengthened the analysis and presentation.</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Special thanks are due to the providers of open data and practice evidence that made this work possible: NASA for satellite albedo datasets, the NYC Health Department Environment and Health Data Portal and its heat mortality surveillance team for rigorous methods and findings, and the WRI Cool Cities Lab with city partners in Cape Town, Hermosillo, and Atlanta, including Georgia Tech researchers and the Smart Surfaces Coalition, for neighbourhood-level mapping and documented cooling interventions.</w:t>
      </w:r>
    </w:p>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3. Introduction</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Urban heat islands have become a compounding climate hazard rather than a local microclimatic curiosity. Monitoring through the CERES satellite system indicates planetary darkening responsible for 1.7 W/m2 of warming since 2010, equivalent to a 138 ppm increase in atmospheric carbon dioxide, while urbanisation itself typically lowers albedo by 0.01-0.02 relative to adjacent croplands and thereby contributes to warming. The forward risk is exemplified by Cape Town, where a 1 to 3 degrees C rise in global temperature is projected to add over 20 high-heat days at or above 35 degrees C and up to 10 additional heatwaves per year by 2050. Background warming and urban-induced radiative change thus interact, requiring engineering responses designed for steadily more severe thermal forcing.</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The intensity of that forcing is mediated principally by surface properties and urban form, which explains pronounced differences within the same city. Albedo affects climate by determining how much radiation is absorbed, and uneven heating arising from albedo variations between surfaces can drive weather. Well-resourced areas tend to retain more vegetation, trees and buildings made of heat-resistant materials that limit accumulation, whereas lower-income areas and informal settlements often combine sparse greenery with cheaper, heat-trapping construction such as metal. Dense central districts, busy pedestrian corridors and large open unsheltered plazas, illustrated by the Casa Rosada in Buenos Aires and the Zocalo in Mexico City, further trap heat through lack of vegetation and shade. Overheating is therefore a legible design outcome amenable to measurement and modification through material and morphological choices.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This physical differentiation becomes an equity crisis because those most exposed possess the fewest means of protection. The Intergovernmental Panel on Climate Change identifies socially and economically vulnerable urban residents as facing the greatest risks from extreme heat, a pattern documented in Mumbai where temperatures can surpass 38 degrees C and lower-income wards are hotter than wealthier areas while lacking critical cooling resources such as vegetation. In Cape Town, decades of race-based exclusion in housing concentrated lower-income people of colour in the poorest, most densely built neighbourhoods of corrugated metal or plastic housing with limited vegetation and shade, making regular 35 degrees C conditions an existing reality in communities including Atlantis, Mamre, Dunoon, Joe Slovo and Sir Lowry's Pass Village. In Atlanta, predominantly Black Westside communities labelled hazardous under 1930s redlining exhibit the lowest tree canopy and the highest asphalt, concrete and impervious cover, experience summer afternoon temperatures 5.6 to 8.4 degrees C above the most forested areas, and report air-conditioning below 80% compared with 96% elsewhere, elevating risks of dehydration, heatstroke and heart disease. Vulnerability is thus structurally produced rather than randomly distributed.</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Confronting a hazard that varies across cities, neighbourhoods and even streets demands spatially resolved evidence and transferable yet locally adapted interventions. Improved data revealing how widely heat hazards differ provides the essential starting point, exemplified by the WRI Cool Cities Lab platform which supports fine-grained assessment of heat risk and comparative evaluation of cooling options. The leverage available through surface intervention is substantial: a 2022 global estimate indicates that an albedo increase of 0.1 in worldwide urban areas would produce cooling equivalent to absorbing approximately 44 Gt of carbon dioxide emissions. That more than 200 cities have joined the United Nations Beat the Heat initiative underscores recognition that, while there is no one-size-fits-all solution, cooling solutions can work across diverse cities and contexts. The engineering task is therefore to link precise measurement to prioritised deployment where heat and vulnerability coincide.</w:t>
      </w:r>
    </w:p>
    <w:p>
      <w:pPr>
        <w:jc w:val="center"/>
        <w:rPr>
          <w:rFonts w:ascii="Times New Roman" w:eastAsia="Times New Roman" w:hAnsi="Times New Roman" w:cs="Times New Roman"/>
          <w:i/>
          <w:sz w:val="20"/>
        </w:rPr>
      </w:pPr>
      <w:r>
        <w:rPr>
          <w:rFonts w:ascii="Times New Roman" w:eastAsia="Times New Roman" w:hAnsi="Times New Roman" w:cs="Times New Roman"/>
          <w:i/>
          <w:sz w:val="20"/>
        </w:rPr>
        <w:t xml:space="preserve">Contrasts in how surface character and social history concentrate heat exposure in three cities.</w:t>
      </w:r>
    </w:p>
    <w:tbl>
      <w:tblPr>
        <w:tblW w:type="auto" w:w="0"/>
        <w:tblLook w:val="04A0" w:firstRow="1" w:firstColumn="1" w:lastRow="0" w:lastColumn="0" w:noHBand="0" w:noVBand="1"/>
      </w:tblPr>
      <w:tblGrid>
        <w:gridCol w:w="3008"/>
        <w:gridCol w:w="3008"/>
        <w:gridCol w:w="3010"/>
      </w:tblGrid>
      <w:tr>
        <w:tc>
          <w:tcPr>
            <w:tcW w:w="3008" w:type="dxa"/>
          </w:tcPr>
          <w:p>
            <w:r>
              <w:rPr>
                <w:rFonts w:ascii="Times New Roman" w:hAnsi="Times New Roman"/>
                <w:b/>
                <w:sz w:val="24"/>
              </w:rPr>
              <w:t xml:space="preserve">Urban context</w:t>
            </w:r>
          </w:p>
        </w:tc>
        <w:tc>
          <w:tcPr>
            <w:tcW w:w="3008" w:type="dxa"/>
          </w:tcPr>
          <w:p>
            <w:r>
              <w:rPr>
                <w:rFonts w:ascii="Times New Roman" w:hAnsi="Times New Roman"/>
                <w:b/>
                <w:sz w:val="24"/>
              </w:rPr>
              <w:t xml:space="preserve">Observed thermal disparity</w:t>
            </w:r>
          </w:p>
        </w:tc>
        <w:tc>
          <w:tcPr>
            <w:tcW w:w="3010" w:type="dxa"/>
          </w:tcPr>
          <w:p>
            <w:r>
              <w:rPr>
                <w:rFonts w:ascii="Times New Roman" w:hAnsi="Times New Roman"/>
                <w:b/>
                <w:sz w:val="24"/>
              </w:rPr>
              <w:t xml:space="preserve">Equity-related driver</w:t>
            </w:r>
          </w:p>
        </w:tc>
      </w:tr>
      <w:tr>
        <w:tc>
          <w:tcPr>
            <w:tcW w:w="3008" w:type="dxa"/>
          </w:tcPr>
          <w:p>
            <w:r>
              <w:rPr>
                <w:rFonts w:ascii="Times New Roman" w:hAnsi="Times New Roman"/>
                <w:b w:val="0"/>
                <w:sz w:val="24"/>
              </w:rPr>
              <w:t xml:space="preserve">Mumbai</w:t>
            </w:r>
          </w:p>
        </w:tc>
        <w:tc>
          <w:tcPr>
            <w:tcW w:w="3008" w:type="dxa"/>
          </w:tcPr>
          <w:p>
            <w:r>
              <w:rPr>
                <w:rFonts w:ascii="Times New Roman" w:hAnsi="Times New Roman"/>
                <w:b w:val="0"/>
                <w:sz w:val="24"/>
              </w:rPr>
              <w:t xml:space="preserve">Temperatures surpassing 38 C; lower-income wards hotter</w:t>
            </w:r>
          </w:p>
        </w:tc>
        <w:tc>
          <w:tcPr>
            <w:tcW w:w="3010" w:type="dxa"/>
          </w:tcPr>
          <w:p>
            <w:r>
              <w:rPr>
                <w:rFonts w:ascii="Times New Roman" w:hAnsi="Times New Roman"/>
                <w:b w:val="0"/>
                <w:sz w:val="24"/>
              </w:rPr>
              <w:t xml:space="preserve">Scarce vegetation and limited cooling resources</w:t>
            </w:r>
          </w:p>
        </w:tc>
      </w:tr>
      <w:tr>
        <w:tc>
          <w:tcPr>
            <w:tcW w:w="3008" w:type="dxa"/>
          </w:tcPr>
          <w:p>
            <w:r>
              <w:rPr>
                <w:rFonts w:ascii="Times New Roman" w:hAnsi="Times New Roman"/>
                <w:b w:val="0"/>
                <w:sz w:val="24"/>
              </w:rPr>
              <w:t xml:space="preserve">Cape Town</w:t>
            </w:r>
          </w:p>
        </w:tc>
        <w:tc>
          <w:tcPr>
            <w:tcW w:w="3008" w:type="dxa"/>
          </w:tcPr>
          <w:p>
            <w:r>
              <w:rPr>
                <w:rFonts w:ascii="Times New Roman" w:hAnsi="Times New Roman"/>
                <w:b w:val="0"/>
                <w:sz w:val="24"/>
              </w:rPr>
              <w:t xml:space="preserve">Over 20 added days at or above 35 C projected by 2050</w:t>
            </w:r>
          </w:p>
        </w:tc>
        <w:tc>
          <w:tcPr>
            <w:tcW w:w="3010" w:type="dxa"/>
          </w:tcPr>
          <w:p>
            <w:r>
              <w:rPr>
                <w:rFonts w:ascii="Times New Roman" w:hAnsi="Times New Roman"/>
                <w:b w:val="0"/>
                <w:sz w:val="24"/>
              </w:rPr>
              <w:t xml:space="preserve">Metal or plastic housing with minimal shade in segregated districts</w:t>
            </w:r>
          </w:p>
        </w:tc>
      </w:tr>
      <w:tr>
        <w:tc>
          <w:tcPr>
            <w:tcW w:w="3008" w:type="dxa"/>
          </w:tcPr>
          <w:p>
            <w:r>
              <w:rPr>
                <w:rFonts w:ascii="Times New Roman" w:hAnsi="Times New Roman"/>
                <w:b w:val="0"/>
                <w:sz w:val="24"/>
              </w:rPr>
              <w:t xml:space="preserve">Atlanta, Georgia</w:t>
            </w:r>
          </w:p>
        </w:tc>
        <w:tc>
          <w:tcPr>
            <w:tcW w:w="3008" w:type="dxa"/>
          </w:tcPr>
          <w:p>
            <w:r>
              <w:rPr>
                <w:rFonts w:ascii="Times New Roman" w:hAnsi="Times New Roman"/>
                <w:b w:val="0"/>
                <w:sz w:val="24"/>
              </w:rPr>
              <w:t xml:space="preserve">Intown areas 5.6 to 8.4 C hotter than forested areas</w:t>
            </w:r>
          </w:p>
        </w:tc>
        <w:tc>
          <w:tcPr>
            <w:tcW w:w="3010" w:type="dxa"/>
          </w:tcPr>
          <w:p>
            <w:r>
              <w:rPr>
                <w:rFonts w:ascii="Times New Roman" w:hAnsi="Times New Roman"/>
                <w:b w:val="0"/>
                <w:sz w:val="24"/>
              </w:rPr>
              <w:t xml:space="preserve">Redlined Westside with low canopy and below 80% air-conditioning</w:t>
            </w:r>
          </w:p>
        </w:tc>
      </w:tr>
    </w:tbl>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4. Theoretical Background</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Surface-energy imbalance governed by the interaction of albedo and insolation provides the physical foundation for urban overheating. Intrinsic surface reflectivity determines the fraction of solar radiation retained, with actual blue-sky albedo expressed as the proportionate sum of direct-beam and diffuse components for any given illumination condition. Urbanization systematically shifts this balance toward absorption, being commonly 0.01-0.02 lower than adjacent croplands. The thermal consequence of such a shift is not uniform but depends on local insolation: high-albedo Arctic regions remain cold under weak insolation whereas the relatively high-albedo Sahara is hot under intense insolation, and tropical and subtropical zones exhibit particularly pronounced temperature fluctuation when local albedo changes. The leverage is globally significant, with a 2022 estimate indicating that a 0.1 increase in urban albedo worldwide would produce cooling equivalent to absorbing approximately 44 Gt of carbon dioxide emissions. Dense, dark-surfaced districts in high-insolation cities therefore possess disproportionate warming potential.</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Retention of that radiative load is further determined by urban morphology and material composition. Better-resourced areas tend to combine greater vegetation and tree cover with buildings constructed from heat-resistant materials, both of which limit heat accumulation. Lower-income areas and informal settlements, by contrast, frequently combine limited greenery with cheaper, heat-trapping construction such as metal, which intensifies experienced heat. Dense central districts and busy pedestrian corridors often lack the vegetation and shade required to moderate temperatures, while large open unsheltered plazas, exemplified by the Casa Rosada area in Buenos Aires and the Zocalo in Mexico City, trap heat where crowds gather. That localized surface properties directly alter surface temperature is demonstrated by the extensive whitened plastic greenhouse roofs of Almeria, Spain, which lowered local surface-area temperature, albeit in localized fashion. The implication is that compact, sparsely vegetated fabrics convert the same solar input into greater sensible heating.</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Intra-urban temperature traverses confirm the magnitude of divergence predicted by this surface-energy account. During a hot day in February 2024, car-based sensors in Cape Town recorded air temperatures as high as 41.6 degrees C in the dense, highly developed centre, with the informal settlement of Joe Slovo just north of the centre nearly as hot, whereas leafier residential areas south-east of downtown barely broke 25 degrees C. A parallel pattern appears in Mumbai, where citywide conditions surpassing 38 degrees C place all residents at risk of heatstroke, yet lower-income wards are hotter than wealthier areas and lack critical cooling resources such as vegetation. This neighbourhood-scale variability unfolds against rising background forcing, with the number of extremely hot days above 35 degrees C per year in the largest capitals having risen 25% since the 1990s. Identical synoptic conditions thus produce sharply differentiated thermal exposures over distances of kilometres.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Differentiated exposure becomes differentiated health risk through indoor retention and social vulnerability pathways. According to the Intergovernmental Panel on Climate Change, urban residents who are already socially and economically vulnerable face the greatest risks from extreme heat. Surveillance for New York City attributes approximately 500 deaths on average each year to heat during the warm season of May through September, with persistent inequities by race and income in the people and neighbourhoods most affected. Crucially, deaths across all races were more common at home, underscoring the importance of access to and affordability of residential cooling for prevention. The theoretical significance is therefore explanatory and normative: physics identifies where heat concentrates, while vulnerability explains for whom concentration becomes mortality, establishing why dense low-vegetation districts require analytical and protective priority.</w:t>
      </w:r>
    </w:p>
    <w:p>
      <w:pPr>
        <w:jc w:val="center"/>
        <w:rPr>
          <w:rFonts w:ascii="Times New Roman" w:eastAsia="Times New Roman" w:hAnsi="Times New Roman" w:cs="Times New Roman"/>
          <w:i/>
          <w:sz w:val="20"/>
        </w:rPr>
      </w:pPr>
      <w:r>
        <w:rPr>
          <w:rFonts w:ascii="Times New Roman" w:eastAsia="Times New Roman" w:hAnsi="Times New Roman" w:cs="Times New Roman"/>
          <w:i/>
          <w:sz w:val="20"/>
        </w:rPr>
        <w:t xml:space="preserve">Surface-energy contrasts underlying observed intra-urban thermal divergence in Cape Town.</w:t>
      </w:r>
    </w:p>
    <w:tbl>
      <w:tblPr>
        <w:tblW w:type="auto" w:w="0"/>
        <w:tblLook w:val="04A0" w:firstRow="1" w:firstColumn="1" w:lastRow="0" w:lastColumn="0" w:noHBand="0" w:noVBand="1"/>
      </w:tblPr>
      <w:tblGrid>
        <w:gridCol w:w="3008"/>
        <w:gridCol w:w="3008"/>
        <w:gridCol w:w="3010"/>
      </w:tblGrid>
      <w:tr>
        <w:tc>
          <w:tcPr>
            <w:tcW w:w="3008" w:type="dxa"/>
          </w:tcPr>
          <w:p>
            <w:r>
              <w:rPr>
                <w:rFonts w:ascii="Times New Roman" w:hAnsi="Times New Roman"/>
                <w:b/>
                <w:sz w:val="24"/>
              </w:rPr>
              <w:t xml:space="preserve">District archetype</w:t>
            </w:r>
          </w:p>
        </w:tc>
        <w:tc>
          <w:tcPr>
            <w:tcW w:w="3008" w:type="dxa"/>
          </w:tcPr>
          <w:p>
            <w:r>
              <w:rPr>
                <w:rFonts w:ascii="Times New Roman" w:hAnsi="Times New Roman"/>
                <w:b/>
                <w:sz w:val="24"/>
              </w:rPr>
              <w:t xml:space="preserve">Surface and morphological attributes</w:t>
            </w:r>
          </w:p>
        </w:tc>
        <w:tc>
          <w:tcPr>
            <w:tcW w:w="3010" w:type="dxa"/>
          </w:tcPr>
          <w:p>
            <w:r>
              <w:rPr>
                <w:rFonts w:ascii="Times New Roman" w:hAnsi="Times New Roman"/>
                <w:b/>
                <w:sz w:val="24"/>
              </w:rPr>
              <w:t xml:space="preserve">Observed thermal expression</w:t>
            </w:r>
          </w:p>
        </w:tc>
      </w:tr>
      <w:tr>
        <w:tc>
          <w:tcPr>
            <w:tcW w:w="3008" w:type="dxa"/>
          </w:tcPr>
          <w:p>
            <w:r>
              <w:rPr>
                <w:rFonts w:ascii="Times New Roman" w:hAnsi="Times New Roman"/>
                <w:b w:val="0"/>
                <w:sz w:val="24"/>
              </w:rPr>
              <w:t xml:space="preserve">Dense highly developed centre</w:t>
            </w:r>
          </w:p>
        </w:tc>
        <w:tc>
          <w:tcPr>
            <w:tcW w:w="3008" w:type="dxa"/>
          </w:tcPr>
          <w:p>
            <w:r>
              <w:rPr>
                <w:rFonts w:ascii="Times New Roman" w:hAnsi="Times New Roman"/>
                <w:b w:val="0"/>
                <w:sz w:val="24"/>
              </w:rPr>
              <w:t xml:space="preserve">Dense development with limited vegetation and shade</w:t>
            </w:r>
          </w:p>
        </w:tc>
        <w:tc>
          <w:tcPr>
            <w:tcW w:w="3010" w:type="dxa"/>
          </w:tcPr>
          <w:p>
            <w:r>
              <w:rPr>
                <w:rFonts w:ascii="Times New Roman" w:hAnsi="Times New Roman"/>
                <w:b w:val="0"/>
                <w:sz w:val="24"/>
              </w:rPr>
              <w:t xml:space="preserve">41.6 degrees C recorded during February 2024 traverse</w:t>
            </w:r>
          </w:p>
        </w:tc>
      </w:tr>
      <w:tr>
        <w:tc>
          <w:tcPr>
            <w:tcW w:w="3008" w:type="dxa"/>
          </w:tcPr>
          <w:p>
            <w:r>
              <w:rPr>
                <w:rFonts w:ascii="Times New Roman" w:hAnsi="Times New Roman"/>
                <w:b w:val="0"/>
                <w:sz w:val="24"/>
              </w:rPr>
              <w:t xml:space="preserve">Informal settlement of Joe Slovo</w:t>
            </w:r>
          </w:p>
        </w:tc>
        <w:tc>
          <w:tcPr>
            <w:tcW w:w="3008" w:type="dxa"/>
          </w:tcPr>
          <w:p>
            <w:r>
              <w:rPr>
                <w:rFonts w:ascii="Times New Roman" w:hAnsi="Times New Roman"/>
                <w:b w:val="0"/>
                <w:sz w:val="24"/>
              </w:rPr>
              <w:t xml:space="preserve">Less greenery with cheaper heat-trapping metal construction</w:t>
            </w:r>
          </w:p>
        </w:tc>
        <w:tc>
          <w:tcPr>
            <w:tcW w:w="3010" w:type="dxa"/>
          </w:tcPr>
          <w:p>
            <w:r>
              <w:rPr>
                <w:rFonts w:ascii="Times New Roman" w:hAnsi="Times New Roman"/>
                <w:b w:val="0"/>
                <w:sz w:val="24"/>
              </w:rPr>
              <w:t xml:space="preserve">Nearly as hot as the city centre</w:t>
            </w:r>
          </w:p>
        </w:tc>
      </w:tr>
      <w:tr>
        <w:tc>
          <w:tcPr>
            <w:tcW w:w="3008" w:type="dxa"/>
          </w:tcPr>
          <w:p>
            <w:r>
              <w:rPr>
                <w:rFonts w:ascii="Times New Roman" w:hAnsi="Times New Roman"/>
                <w:b w:val="0"/>
                <w:sz w:val="24"/>
              </w:rPr>
              <w:t xml:space="preserve">Leafier south-eastern residences</w:t>
            </w:r>
          </w:p>
        </w:tc>
        <w:tc>
          <w:tcPr>
            <w:tcW w:w="3008" w:type="dxa"/>
          </w:tcPr>
          <w:p>
            <w:r>
              <w:rPr>
                <w:rFonts w:ascii="Times New Roman" w:hAnsi="Times New Roman"/>
                <w:b w:val="0"/>
                <w:sz w:val="24"/>
              </w:rPr>
              <w:t xml:space="preserve">More vegetation, trees and shade</w:t>
            </w:r>
          </w:p>
        </w:tc>
        <w:tc>
          <w:tcPr>
            <w:tcW w:w="3010" w:type="dxa"/>
          </w:tcPr>
          <w:p>
            <w:r>
              <w:rPr>
                <w:rFonts w:ascii="Times New Roman" w:hAnsi="Times New Roman"/>
                <w:b w:val="0"/>
                <w:sz w:val="24"/>
              </w:rPr>
              <w:t xml:space="preserve">Barely broke 25 degrees C on same hot day</w:t>
            </w:r>
          </w:p>
        </w:tc>
      </w:tr>
    </w:tbl>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5. Measuring Urban Heat: Albedo to Street Mapping</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Vehicle-mounted transects demonstrate that standard station records substantially understate intra-urban thermal contrasts. In February 2024 volunteers across Cape Town recorded air temperature with sensors affixed to cars on a single hot day, finding 41.6 degrees C in the dense, highly developed centre and nearly equivalent heat in the informal settlement of Joe Slovo just north of the centre, while leafier residential areas southeast of downtown barely exceeded 25 degrees C. The implication for engineering practice is that design Heat assessment cannot rely on a city-mean value when lived exposure varies by more than sixteen degrees within one conurbation on the same afternoon.</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Geospatial data platforms convert such observations and remotely sensed surface conditions into spatially explicit exposure maps that guide intervention siting. The Cool Cities Lab platform displays land surface temperatures alongside tree-canopy coverage and informal settlements in Cape Town, revealing that hotspots coincide with areas of sparse trees, and provides estimates of cooling potential from trees and reflective roofs. Cape Town officials use these layers to identify vulnerable areas and quantify potential reductions, while Hermosillo officials use neighbourhood-level mapping to delineate vulnerable red zones for public communication. The engineering value is therefore diagnostic and communicative: visualisation makes the physical drivers of overheating legible for prioritisation and funding.</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Coupled vulnerability mapping with intervention modelling quantifies both the magnitude of disparity and the expected benefit of surface modifications. Atlanta commissioned a 2023 Georgia Tech study of heat vulnerability which documented summer afternoon temperatures in intown neighbourhoods 5.6 to 8.4 degrees C higher than in the most forested areas, with predominantly Black Westside communities disproportionately exposed and with air-conditioning prevalence below 80% compared with 96% elsewhere. Subsequent modelling developed with the Smart Surfaces Coalition and WRI and available in Cool Cities Lab estimated that reflective-roof upgrading would lower citywide air temperature by around 1.4 degrees C and by as much as 3.5 degrees C in historically redlined neighbourhoods. Measurement thus progresses from characterisation to prediction of engineering performance.</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Composite indices that integrate environmental and social determinants predict heat-mortality risk more reliably than small-area death counts alone. The Heat Vulnerability Index combines neighbourhood average surface temperature and percentage of green space with percentage of homes with air conditioning, median income, and percentage of residents who are Black to produce a relative score from 1, lowest risk, to 5, highest risk, with elevated scores corresponding to elevated heat-exacerbated deaths during and shortly after extreme events. Direct heat-stress deaths by Neighborhood Tabulation Area are explicitly cautioned against for comparison because small numbers cannot distinguish random fluctuation from true risk differences. Inclusion of race is presented as essential because structural racism, disinvestment, and redlining shape housing quality, vegetation, and health-care access that mediate heat susceptibility, so the index directs protection toward underlying vulnerability rather than temperature alone.</w:t>
      </w:r>
    </w:p>
    <w:p>
      <w:pPr>
        <w:jc w:val="center"/>
        <w:rPr>
          <w:rFonts w:ascii="Times New Roman" w:eastAsia="Times New Roman" w:hAnsi="Times New Roman" w:cs="Times New Roman"/>
          <w:i/>
          <w:sz w:val="20"/>
        </w:rPr>
      </w:pPr>
      <w:r>
        <w:rPr>
          <w:rFonts w:ascii="Times New Roman" w:eastAsia="Times New Roman" w:hAnsi="Times New Roman" w:cs="Times New Roman"/>
          <w:i/>
          <w:sz w:val="20"/>
        </w:rPr>
        <w:t xml:space="preserve">Comparison of street-to-neighbourhood measurement approaches used to quantify urban heat differences.</w:t>
      </w:r>
    </w:p>
    <w:tbl>
      <w:tblPr>
        <w:tblW w:type="auto" w:w="0"/>
        <w:tblLook w:val="04A0" w:firstRow="1" w:firstColumn="1" w:lastRow="0" w:lastColumn="0" w:noHBand="0" w:noVBand="1"/>
      </w:tblPr>
      <w:tblGrid>
        <w:gridCol w:w="3008"/>
        <w:gridCol w:w="3008"/>
        <w:gridCol w:w="3010"/>
      </w:tblGrid>
      <w:tr>
        <w:tc>
          <w:tcPr>
            <w:tcW w:w="3008" w:type="dxa"/>
          </w:tcPr>
          <w:p>
            <w:r>
              <w:rPr>
                <w:rFonts w:ascii="Times New Roman" w:hAnsi="Times New Roman"/>
                <w:b/>
                <w:sz w:val="24"/>
              </w:rPr>
              <w:t xml:space="preserve">Method</w:t>
            </w:r>
          </w:p>
        </w:tc>
        <w:tc>
          <w:tcPr>
            <w:tcW w:w="3008" w:type="dxa"/>
          </w:tcPr>
          <w:p>
            <w:r>
              <w:rPr>
                <w:rFonts w:ascii="Times New Roman" w:hAnsi="Times New Roman"/>
                <w:b/>
                <w:sz w:val="24"/>
              </w:rPr>
              <w:t xml:space="preserve">Variables Captured</w:t>
            </w:r>
          </w:p>
        </w:tc>
        <w:tc>
          <w:tcPr>
            <w:tcW w:w="3010" w:type="dxa"/>
          </w:tcPr>
          <w:p>
            <w:r>
              <w:rPr>
                <w:rFonts w:ascii="Times New Roman" w:hAnsi="Times New Roman"/>
                <w:b/>
                <w:sz w:val="24"/>
              </w:rPr>
              <w:t xml:space="preserve">Illustrative Finding</w:t>
            </w:r>
          </w:p>
        </w:tc>
      </w:tr>
      <w:tr>
        <w:tc>
          <w:tcPr>
            <w:tcW w:w="3008" w:type="dxa"/>
          </w:tcPr>
          <w:p>
            <w:r>
              <w:rPr>
                <w:rFonts w:ascii="Times New Roman" w:hAnsi="Times New Roman"/>
                <w:b w:val="0"/>
                <w:sz w:val="24"/>
              </w:rPr>
              <w:t xml:space="preserve">Car-sensor transects</w:t>
            </w:r>
          </w:p>
        </w:tc>
        <w:tc>
          <w:tcPr>
            <w:tcW w:w="3008" w:type="dxa"/>
          </w:tcPr>
          <w:p>
            <w:r>
              <w:rPr>
                <w:rFonts w:ascii="Times New Roman" w:hAnsi="Times New Roman"/>
                <w:b w:val="0"/>
                <w:sz w:val="24"/>
              </w:rPr>
              <w:t xml:space="preserve">Mobile air temperature across districts</w:t>
            </w:r>
          </w:p>
        </w:tc>
        <w:tc>
          <w:tcPr>
            <w:tcW w:w="3010" w:type="dxa"/>
          </w:tcPr>
          <w:p>
            <w:r>
              <w:rPr>
                <w:rFonts w:ascii="Times New Roman" w:hAnsi="Times New Roman"/>
                <w:b w:val="0"/>
                <w:sz w:val="24"/>
              </w:rPr>
              <w:t xml:space="preserve">Cape Town 41.6C centre versus 25C leafy southeast</w:t>
            </w:r>
          </w:p>
        </w:tc>
      </w:tr>
      <w:tr>
        <w:tc>
          <w:tcPr>
            <w:tcW w:w="3008" w:type="dxa"/>
          </w:tcPr>
          <w:p>
            <w:r>
              <w:rPr>
                <w:rFonts w:ascii="Times New Roman" w:hAnsi="Times New Roman"/>
                <w:b w:val="0"/>
                <w:sz w:val="24"/>
              </w:rPr>
              <w:t xml:space="preserve">Cool Cities Lab mapping</w:t>
            </w:r>
          </w:p>
        </w:tc>
        <w:tc>
          <w:tcPr>
            <w:tcW w:w="3008" w:type="dxa"/>
          </w:tcPr>
          <w:p>
            <w:r>
              <w:rPr>
                <w:rFonts w:ascii="Times New Roman" w:hAnsi="Times New Roman"/>
                <w:b w:val="0"/>
                <w:sz w:val="24"/>
              </w:rPr>
              <w:t xml:space="preserve">Surface temperature, canopy, settlement overlay</w:t>
            </w:r>
          </w:p>
        </w:tc>
        <w:tc>
          <w:tcPr>
            <w:tcW w:w="3010" w:type="dxa"/>
          </w:tcPr>
          <w:p>
            <w:r>
              <w:rPr>
                <w:rFonts w:ascii="Times New Roman" w:hAnsi="Times New Roman"/>
                <w:b w:val="0"/>
                <w:sz w:val="24"/>
              </w:rPr>
              <w:t xml:space="preserve">Hotspots align with few trees; NW Hermosillo 0-6% cover</w:t>
            </w:r>
          </w:p>
        </w:tc>
      </w:tr>
      <w:tr>
        <w:tc>
          <w:tcPr>
            <w:tcW w:w="3008" w:type="dxa"/>
          </w:tcPr>
          <w:p>
            <w:r>
              <w:rPr>
                <w:rFonts w:ascii="Times New Roman" w:hAnsi="Times New Roman"/>
                <w:b w:val="0"/>
                <w:sz w:val="24"/>
              </w:rPr>
              <w:t xml:space="preserve">Exposure differential analysis</w:t>
            </w:r>
          </w:p>
        </w:tc>
        <w:tc>
          <w:tcPr>
            <w:tcW w:w="3008" w:type="dxa"/>
          </w:tcPr>
          <w:p>
            <w:r>
              <w:rPr>
                <w:rFonts w:ascii="Times New Roman" w:hAnsi="Times New Roman"/>
                <w:b w:val="0"/>
                <w:sz w:val="24"/>
              </w:rPr>
              <w:t xml:space="preserve">Inter-neighbourhood temperature contrast</w:t>
            </w:r>
          </w:p>
        </w:tc>
        <w:tc>
          <w:tcPr>
            <w:tcW w:w="3010" w:type="dxa"/>
          </w:tcPr>
          <w:p>
            <w:r>
              <w:rPr>
                <w:rFonts w:ascii="Times New Roman" w:hAnsi="Times New Roman"/>
                <w:b w:val="0"/>
                <w:sz w:val="24"/>
              </w:rPr>
              <w:t xml:space="preserve">Hermosillo NW up to 14C hotter; Atlanta intown 5.6-8.4C higher</w:t>
            </w:r>
          </w:p>
        </w:tc>
      </w:tr>
      <w:tr>
        <w:tc>
          <w:tcPr>
            <w:tcW w:w="3008" w:type="dxa"/>
          </w:tcPr>
          <w:p>
            <w:r>
              <w:rPr>
                <w:rFonts w:ascii="Times New Roman" w:hAnsi="Times New Roman"/>
                <w:b w:val="0"/>
                <w:sz w:val="24"/>
              </w:rPr>
              <w:t xml:space="preserve">Scenario and vulnerability modelling</w:t>
            </w:r>
          </w:p>
        </w:tc>
        <w:tc>
          <w:tcPr>
            <w:tcW w:w="3008" w:type="dxa"/>
          </w:tcPr>
          <w:p>
            <w:r>
              <w:rPr>
                <w:rFonts w:ascii="Times New Roman" w:hAnsi="Times New Roman"/>
                <w:b w:val="0"/>
                <w:sz w:val="24"/>
              </w:rPr>
              <w:t xml:space="preserve">Cooling potential; AC, income, race, greenness</w:t>
            </w:r>
          </w:p>
        </w:tc>
        <w:tc>
          <w:tcPr>
            <w:tcW w:w="3010" w:type="dxa"/>
          </w:tcPr>
          <w:p>
            <w:r>
              <w:rPr>
                <w:rFonts w:ascii="Times New Roman" w:hAnsi="Times New Roman"/>
                <w:b w:val="0"/>
                <w:sz w:val="24"/>
              </w:rPr>
              <w:t xml:space="preserve">Reflective roofs -1.4C citywide, -3.5C in redlined areas; HVI 1-5</w:t>
            </w:r>
          </w:p>
        </w:tc>
      </w:tr>
    </w:tbl>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6. Application</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Reflective roof treatments provide the most immediate engineering reduction in indoor heat stress and measurable neighbourhood air cooling. In Khayelitsha, Cape Town is working with residents through the Heat Adaptation Benefits for Vulnerable groups in Africa project to roll out reflective roof paint across homes to demonstrate its cooling potential, a direct response to dwellings of corrugated metal or plastic that trap heat. Documented studies indicate that such cool roofs can lower indoor temperatures by 1.5 to 5 degrees C and reduce surrounding air temperatures by 0.2 to 0.6 degrees C for every 10% increase in neighborhood reflectivity. Because the ambient benefit is expressed as a function of area-averaged reflectivity, the same principle supports extension from roofs to other sun-exposed surfaces, including pavements. The implication for practice is that high-albedo coatings function as a rapid, low-construction intervention where indoor overheating is acute.</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District-scale deployment of reflective roofs can lower citywide air temperature, with disproportionately large gains in the hottest, least-vegetated neighbourhoods. Modelling for Atlanta developed in partnership with WRI using data now available in Cool Cities Lab, undertaken with the Smart Surfaces Coalition following the commissioned 2023 Georgia Tech vulnerability mapping, showed that upgrading roofs with reflective materials could lower citywide air temperatures by around 1.4 degrees C, a reduction large enough to lower both energy demands and instances of heat-related illnesses. In historically redlined neighbourhoods the modelled effect reached as much as 3.5 degrees C. These findings led the city council to unanimously pass an ordinance in June 2025 mandating that all new and replacement roofs must be built with reflective materials beginning in 2026. The projected co-benefits include more than $300 million in total energy savings over the next 35 years and mitigation of 1,000 metric tons of air pollutants, while lower temperatures protect outdoor workers and pedestrians and reduce peak electricity demand and ozone formation.</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Targeted urban greening lowers street and surface temperatures through shading and vegetative cooling, but requires sustained horticultural investment before full benefit is realised. Hermosillo recently established a native plant nursery to seed efforts to restore trees and plants, with neighbourhood-level data guiding identification of where restoring vegetation will have the greatest impact, particularly in informal settlements where hotspot mapping reveals elevated surface temperatures and lack of tree cover. This sequencing logic is explicitly recognised in Cape Town, where Cool Cities Lab data are used to complement long-term greening efforts with quick-win interventions that can provide cooling relief quickly, because trees can take years to grow enough to provide shade. Although new parks and canopy restoration are regarded among the most effective temperature-reduction measures, their delayed maturity means they must be programmed alongside faster albedo interventions. The engineering consequence is a phased portfolio rather than reliance on planting alone.</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Shade structures, cooling shelters and associated vegetated shade reduce personal exposure along streets and movement corridors where residents cannot avoid midday heat. Hermosillo is using data to identify where cooling shelters and additional shade from trees and structures could benefit people along major transit and pedestrian routes, thereby addressing irradiative load experienced by commuters and outdoor workers. Cape Town follows the same staged rationale, treating reflective roofs as a first step with shaded areas, cooling centers and urban greenery in vulnerable communities to follow. According to Chief Heat Officer Albert Ferreira, these efforts can reduce compounding climate and social stressors through improving health conditions and public spaces. The significance is that shelter and corridor shading intervene at the scale of the pedestrian body, complementing roof and canopy measures that act at building and district scale.</w:t>
      </w:r>
    </w:p>
    <w:p>
      <w:pPr>
        <w:jc w:val="center"/>
        <w:rPr>
          <w:rFonts w:ascii="Times New Roman" w:eastAsia="Times New Roman" w:hAnsi="Times New Roman" w:cs="Times New Roman"/>
          <w:i/>
          <w:sz w:val="20"/>
        </w:rPr>
      </w:pPr>
      <w:r>
        <w:rPr>
          <w:rFonts w:ascii="Times New Roman" w:eastAsia="Times New Roman" w:hAnsi="Times New Roman" w:cs="Times New Roman"/>
          <w:i/>
          <w:sz w:val="20"/>
        </w:rPr>
        <w:t xml:space="preserve">Comparative cooling function and documented outcome of applied interventions in Cape Town, Hermosillo and Atlanta.</w:t>
      </w:r>
    </w:p>
    <w:tbl>
      <w:tblPr>
        <w:tblW w:type="auto" w:w="0"/>
        <w:tblLook w:val="04A0" w:firstRow="1" w:firstColumn="1" w:lastRow="0" w:lastColumn="0" w:noHBand="0" w:noVBand="1"/>
      </w:tblPr>
      <w:tblGrid>
        <w:gridCol w:w="3008"/>
        <w:gridCol w:w="3008"/>
        <w:gridCol w:w="3010"/>
      </w:tblGrid>
      <w:tr>
        <w:tc>
          <w:tcPr>
            <w:tcW w:w="3008" w:type="dxa"/>
          </w:tcPr>
          <w:p>
            <w:r>
              <w:rPr>
                <w:rFonts w:ascii="Times New Roman" w:hAnsi="Times New Roman"/>
                <w:b/>
                <w:sz w:val="24"/>
              </w:rPr>
              <w:t xml:space="preserve">Intervention</w:t>
            </w:r>
          </w:p>
        </w:tc>
        <w:tc>
          <w:tcPr>
            <w:tcW w:w="3008" w:type="dxa"/>
          </w:tcPr>
          <w:p>
            <w:r>
              <w:rPr>
                <w:rFonts w:ascii="Times New Roman" w:hAnsi="Times New Roman"/>
                <w:b/>
                <w:sz w:val="24"/>
              </w:rPr>
              <w:t xml:space="preserve">Cooling mechanism</w:t>
            </w:r>
          </w:p>
        </w:tc>
        <w:tc>
          <w:tcPr>
            <w:tcW w:w="3010" w:type="dxa"/>
          </w:tcPr>
          <w:p>
            <w:r>
              <w:rPr>
                <w:rFonts w:ascii="Times New Roman" w:hAnsi="Times New Roman"/>
                <w:b/>
                <w:sz w:val="24"/>
              </w:rPr>
              <w:t xml:space="preserve">Documented effect or deployment</w:t>
            </w:r>
          </w:p>
        </w:tc>
      </w:tr>
      <w:tr>
        <w:tc>
          <w:tcPr>
            <w:tcW w:w="3008" w:type="dxa"/>
          </w:tcPr>
          <w:p>
            <w:r>
              <w:rPr>
                <w:rFonts w:ascii="Times New Roman" w:hAnsi="Times New Roman"/>
                <w:b w:val="0"/>
                <w:sz w:val="24"/>
              </w:rPr>
              <w:t xml:space="preserve">Reflective roof paint</w:t>
            </w:r>
          </w:p>
        </w:tc>
        <w:tc>
          <w:tcPr>
            <w:tcW w:w="3008" w:type="dxa"/>
          </w:tcPr>
          <w:p>
            <w:r>
              <w:rPr>
                <w:rFonts w:ascii="Times New Roman" w:hAnsi="Times New Roman"/>
                <w:b w:val="0"/>
                <w:sz w:val="24"/>
              </w:rPr>
              <w:t xml:space="preserve">Increased reflection from building envelope</w:t>
            </w:r>
          </w:p>
        </w:tc>
        <w:tc>
          <w:tcPr>
            <w:tcW w:w="3010" w:type="dxa"/>
          </w:tcPr>
          <w:p>
            <w:r>
              <w:rPr>
                <w:rFonts w:ascii="Times New Roman" w:hAnsi="Times New Roman"/>
                <w:b w:val="0"/>
                <w:sz w:val="24"/>
              </w:rPr>
              <w:t xml:space="preserve">Indoor -1.5 to 5 C; ambient -0.2 to 0.6 C per 10% reflectivity rise; trialled in Khayelitsha</w:t>
            </w:r>
          </w:p>
        </w:tc>
      </w:tr>
      <w:tr>
        <w:tc>
          <w:tcPr>
            <w:tcW w:w="3008" w:type="dxa"/>
          </w:tcPr>
          <w:p>
            <w:r>
              <w:rPr>
                <w:rFonts w:ascii="Times New Roman" w:hAnsi="Times New Roman"/>
                <w:b w:val="0"/>
                <w:sz w:val="24"/>
              </w:rPr>
              <w:t xml:space="preserve">Citywide cool-roof programme</w:t>
            </w:r>
          </w:p>
        </w:tc>
        <w:tc>
          <w:tcPr>
            <w:tcW w:w="3008" w:type="dxa"/>
          </w:tcPr>
          <w:p>
            <w:r>
              <w:rPr>
                <w:rFonts w:ascii="Times New Roman" w:hAnsi="Times New Roman"/>
                <w:b w:val="0"/>
                <w:sz w:val="24"/>
              </w:rPr>
              <w:t xml:space="preserve">District-scale albedo uplift</w:t>
            </w:r>
          </w:p>
        </w:tc>
        <w:tc>
          <w:tcPr>
            <w:tcW w:w="3010" w:type="dxa"/>
          </w:tcPr>
          <w:p>
            <w:r>
              <w:rPr>
                <w:rFonts w:ascii="Times New Roman" w:hAnsi="Times New Roman"/>
                <w:b w:val="0"/>
                <w:sz w:val="24"/>
              </w:rPr>
              <w:t xml:space="preserve">Atlanta air -1.4 C citywide, up to -3.5 C in redlined areas; mandate from 2026</w:t>
            </w:r>
          </w:p>
        </w:tc>
      </w:tr>
      <w:tr>
        <w:tc>
          <w:tcPr>
            <w:tcW w:w="3008" w:type="dxa"/>
          </w:tcPr>
          <w:p>
            <w:r>
              <w:rPr>
                <w:rFonts w:ascii="Times New Roman" w:hAnsi="Times New Roman"/>
                <w:b w:val="0"/>
                <w:sz w:val="24"/>
              </w:rPr>
              <w:t xml:space="preserve">Native-species greening</w:t>
            </w:r>
          </w:p>
        </w:tc>
        <w:tc>
          <w:tcPr>
            <w:tcW w:w="3008" w:type="dxa"/>
          </w:tcPr>
          <w:p>
            <w:r>
              <w:rPr>
                <w:rFonts w:ascii="Times New Roman" w:hAnsi="Times New Roman"/>
                <w:b w:val="0"/>
                <w:sz w:val="24"/>
              </w:rPr>
              <w:t xml:space="preserve">Canopy shade and vegetation cooling</w:t>
            </w:r>
          </w:p>
        </w:tc>
        <w:tc>
          <w:tcPr>
            <w:tcW w:w="3010" w:type="dxa"/>
          </w:tcPr>
          <w:p>
            <w:r>
              <w:rPr>
                <w:rFonts w:ascii="Times New Roman" w:hAnsi="Times New Roman"/>
                <w:b w:val="0"/>
                <w:sz w:val="24"/>
              </w:rPr>
              <w:t xml:space="preserve">Hermosillo nursery stock; prioritised where hotspots lack cover; matures over years</w:t>
            </w:r>
          </w:p>
        </w:tc>
      </w:tr>
      <w:tr>
        <w:tc>
          <w:tcPr>
            <w:tcW w:w="3008" w:type="dxa"/>
          </w:tcPr>
          <w:p>
            <w:r>
              <w:rPr>
                <w:rFonts w:ascii="Times New Roman" w:hAnsi="Times New Roman"/>
                <w:b w:val="0"/>
                <w:sz w:val="24"/>
              </w:rPr>
              <w:t xml:space="preserve">Shade structures and shelters</w:t>
            </w:r>
          </w:p>
        </w:tc>
        <w:tc>
          <w:tcPr>
            <w:tcW w:w="3008" w:type="dxa"/>
          </w:tcPr>
          <w:p>
            <w:r>
              <w:rPr>
                <w:rFonts w:ascii="Times New Roman" w:hAnsi="Times New Roman"/>
                <w:b w:val="0"/>
                <w:sz w:val="24"/>
              </w:rPr>
              <w:t xml:space="preserve">Interception of direct radiation on routes</w:t>
            </w:r>
          </w:p>
        </w:tc>
        <w:tc>
          <w:tcPr>
            <w:tcW w:w="3010" w:type="dxa"/>
          </w:tcPr>
          <w:p>
            <w:r>
              <w:rPr>
                <w:rFonts w:ascii="Times New Roman" w:hAnsi="Times New Roman"/>
                <w:b w:val="0"/>
                <w:sz w:val="24"/>
              </w:rPr>
              <w:t xml:space="preserve">Sited on transit and pedestrian corridors with cooling centers to follow</w:t>
            </w:r>
          </w:p>
        </w:tc>
      </w:tr>
    </w:tbl>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7. Protecting Vulnerable Communities from Extreme Heat</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Protection from extreme heat must be weighted toward households without private cooling because mortality risk is socially stratified rather than evenly shared. The Intergovernmental Panel on Climate Change identifies socially and economically vulnerable urban residents as facing the greatest risk, a concern reflected in New York City maintaining dedicated heat-related mortality surveillance through its Environment and Health Data Portal. The material basis is clear: better-resourced areas retain more vegetation, trees and heat-resistant construction, whereas lower-income wards and informal settlements combine sparse greenery with cheaper heat-trapping construction such as metal. In Atlanta the cooling deficit is explicit, with air conditioning in 96% of homes elsewhere but in fewer than 80% of Westside homes, while WRI India research finds lower-income wards in Mumbai hotter than wealthier areas and deficient in vegetation. Citywide temperature averages therefore conceal where heat becomes lethal, so equitable engineering must direct resources first to uncooled homes.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Hyperlocal measurement makes such prioritisation technically defensible by exposing neighbourhood contrasts that conventional averages obscure. Automobile-based observations on a hot day in February 2024 registered about 41.6 degrees C in Cape Town's dense centre and in the informal settlement of Joe Slovo, compared with barely 25 degrees C in leafier residential areas south-east of downtown. In Atlanta, summer afternoon differences of 5.6 to 8.4 degrees C separate intown neighbourhoods from the most forested areas, with predominantly Black Westside communities identified as particularly vulnerable to heat stress. Atlanta's commissioned 2023 Georgia Tech vulnerability mapping formalised these disparities, while Cool Cities Lab mapping of exposure and of the cooling potential of trees and reflective roofs supports estimation of neighbourhood-specific benefits. As Chief Heat Officer Albert Ferreira observed, such data allow clear identification of vulnerable areas and quantification of temperature reductions from alternative measures, thereby connecting evidence directly to sequencing of investment.</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Housing-scale interventions in poorly cooled districts demonstrate disproportionately large health-relevant gains, validating an equity-first approach. In Khayelitsha, among Cape Town's poorest areas, collaboration with residents under the Heat Adaptation Benefits for Vulnerable groups in Africa initiative is demonstrating reflective roof paint, with studies indicating indoor reductions of 1.5 to 5 degrees C and surrounding air reductions of 0.2 to 0.6 degrees C for every 10% increase in neighbourhood reflectivity. Planned shaded areas, cooling centres and urban greenery are envisaged as subsequent steps, recognising that trees require years to mature whereas reflective surfaces provide rapid relief. Corresponding modelling for Atlanta, developed with WRI and available through Cool Cities Lab, projected that reflective roof upgrades could lower citywide air temperature by about 1.4 degrees C, enough to reduce energy demand and heat-related illness, with reductions reaching 3.5 degrees C in historically redlined districts. The unanimous June 2025 council ordinance requiring reflective materials on all new and replacement roofs from 2026 thus institutionalises the finding that the hottest and least-cooled neighbourhoods benefit most.</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Experience in hot and sparsely vegetated cities generalises this result into a scaling principle for intensifying heat. Hermosillo, a desert city with few trees and a long history of extreme hot days, illustrates limited natural buffering, while Cape Town could experience more than 20 additional days at or above 35 degrees C and up to 10 additional heatwaves each year by 2050 under 1 to 3 degrees C of global warming. Although there is no single universal remedy, documented practice across Cape Town, Hermosillo and Atlanta shows that locally appropriate combinations of trees, cool roofs and shade are most effective when concentrated where residents experience heat most acutely. The urgency is underscored by an estimated 489,000 heat-related deaths globally each year, expected to become more severe, and by more than 200 cities joining the United Nations Beat the Heat initiative. Prioritising uncooled households therefore reduces compounding climatic and social stressors through improved health conditions and public spaces, rather than merely lowering a metropolitan mean.</w:t>
      </w:r>
    </w:p>
    <w:p>
      <w:pPr>
        <w:jc w:val="center"/>
        <w:rPr>
          <w:rFonts w:ascii="Times New Roman" w:eastAsia="Times New Roman" w:hAnsi="Times New Roman" w:cs="Times New Roman"/>
          <w:i/>
          <w:sz w:val="20"/>
        </w:rPr>
      </w:pPr>
      <w:r>
        <w:rPr>
          <w:rFonts w:ascii="Times New Roman" w:eastAsia="Times New Roman" w:hAnsi="Times New Roman" w:cs="Times New Roman"/>
          <w:i/>
          <w:sz w:val="20"/>
        </w:rPr>
        <w:t xml:space="preserve">Equity-centred cooling responses where exposure and cooling access diverge</w:t>
      </w:r>
    </w:p>
    <w:tbl>
      <w:tblPr>
        <w:tblW w:type="auto" w:w="0"/>
        <w:tblLook w:val="04A0" w:firstRow="1" w:firstColumn="1" w:lastRow="0" w:lastColumn="0" w:noHBand="0" w:noVBand="1"/>
      </w:tblPr>
      <w:tblGrid>
        <w:gridCol w:w="3008"/>
        <w:gridCol w:w="3008"/>
        <w:gridCol w:w="3010"/>
      </w:tblGrid>
      <w:tr>
        <w:tc>
          <w:tcPr>
            <w:tcW w:w="3008" w:type="dxa"/>
          </w:tcPr>
          <w:p>
            <w:r>
              <w:rPr>
                <w:rFonts w:ascii="Times New Roman" w:hAnsi="Times New Roman"/>
                <w:b/>
                <w:sz w:val="24"/>
              </w:rPr>
              <w:t xml:space="preserve">Location</w:t>
            </w:r>
          </w:p>
        </w:tc>
        <w:tc>
          <w:tcPr>
            <w:tcW w:w="3008" w:type="dxa"/>
          </w:tcPr>
          <w:p>
            <w:r>
              <w:rPr>
                <w:rFonts w:ascii="Times New Roman" w:hAnsi="Times New Roman"/>
                <w:b/>
                <w:sz w:val="24"/>
              </w:rPr>
              <w:t xml:space="preserve">Documented inequity</w:t>
            </w:r>
          </w:p>
        </w:tc>
        <w:tc>
          <w:tcPr>
            <w:tcW w:w="3010" w:type="dxa"/>
          </w:tcPr>
          <w:p>
            <w:r>
              <w:rPr>
                <w:rFonts w:ascii="Times New Roman" w:hAnsi="Times New Roman"/>
                <w:b/>
                <w:sz w:val="24"/>
              </w:rPr>
              <w:t xml:space="preserve">Equity-prioritised response</w:t>
            </w:r>
          </w:p>
        </w:tc>
      </w:tr>
      <w:tr>
        <w:tc>
          <w:tcPr>
            <w:tcW w:w="3008" w:type="dxa"/>
          </w:tcPr>
          <w:p>
            <w:r>
              <w:rPr>
                <w:rFonts w:ascii="Times New Roman" w:hAnsi="Times New Roman"/>
                <w:b w:val="0"/>
                <w:sz w:val="24"/>
              </w:rPr>
              <w:t xml:space="preserve">Cape Town: Khayelitsha, Joe Slovo and similar areas</w:t>
            </w:r>
          </w:p>
        </w:tc>
        <w:tc>
          <w:tcPr>
            <w:tcW w:w="3008" w:type="dxa"/>
          </w:tcPr>
          <w:p>
            <w:r>
              <w:rPr>
                <w:rFonts w:ascii="Times New Roman" w:hAnsi="Times New Roman"/>
                <w:b w:val="0"/>
                <w:sz w:val="24"/>
              </w:rPr>
              <w:t xml:space="preserve">Centre reached 41.6C while leafy south-east stayed near 25C; metal and plastic homes trap heat</w:t>
            </w:r>
          </w:p>
        </w:tc>
        <w:tc>
          <w:tcPr>
            <w:tcW w:w="3010" w:type="dxa"/>
          </w:tcPr>
          <w:p>
            <w:r>
              <w:rPr>
                <w:rFonts w:ascii="Times New Roman" w:hAnsi="Times New Roman"/>
                <w:b w:val="0"/>
                <w:sz w:val="24"/>
              </w:rPr>
              <w:t xml:space="preserve">Reflective roof paint trial, with shade, cooling centres and greenery to follow</w:t>
            </w:r>
          </w:p>
        </w:tc>
      </w:tr>
      <w:tr>
        <w:tc>
          <w:tcPr>
            <w:tcW w:w="3008" w:type="dxa"/>
          </w:tcPr>
          <w:p>
            <w:r>
              <w:rPr>
                <w:rFonts w:ascii="Times New Roman" w:hAnsi="Times New Roman"/>
                <w:b w:val="0"/>
                <w:sz w:val="24"/>
              </w:rPr>
              <w:t xml:space="preserve">Atlanta: Westside redlined neighbourhoods</w:t>
            </w:r>
          </w:p>
        </w:tc>
        <w:tc>
          <w:tcPr>
            <w:tcW w:w="3008" w:type="dxa"/>
          </w:tcPr>
          <w:p>
            <w:r>
              <w:rPr>
                <w:rFonts w:ascii="Times New Roman" w:hAnsi="Times New Roman"/>
                <w:b w:val="0"/>
                <w:sz w:val="24"/>
              </w:rPr>
              <w:t xml:space="preserve">Intown areas 5.6 to 8.4C hotter than forested areas; below 80% have cooling versus 96% elsewhere</w:t>
            </w:r>
          </w:p>
        </w:tc>
        <w:tc>
          <w:tcPr>
            <w:tcW w:w="3010" w:type="dxa"/>
          </w:tcPr>
          <w:p>
            <w:r>
              <w:rPr>
                <w:rFonts w:ascii="Times New Roman" w:hAnsi="Times New Roman"/>
                <w:b w:val="0"/>
                <w:sz w:val="24"/>
              </w:rPr>
              <w:t xml:space="preserve">Vulnerability mapping and June 2025 mandate for reflective new and replacement roofs from 2026</w:t>
            </w:r>
          </w:p>
        </w:tc>
      </w:tr>
      <w:tr>
        <w:tc>
          <w:tcPr>
            <w:tcW w:w="3008" w:type="dxa"/>
          </w:tcPr>
          <w:p>
            <w:r>
              <w:rPr>
                <w:rFonts w:ascii="Times New Roman" w:hAnsi="Times New Roman"/>
                <w:b w:val="0"/>
                <w:sz w:val="24"/>
              </w:rPr>
              <w:t xml:space="preserve">Hermosillo: desert-city districts</w:t>
            </w:r>
          </w:p>
        </w:tc>
        <w:tc>
          <w:tcPr>
            <w:tcW w:w="3008" w:type="dxa"/>
          </w:tcPr>
          <w:p>
            <w:r>
              <w:rPr>
                <w:rFonts w:ascii="Times New Roman" w:hAnsi="Times New Roman"/>
                <w:b w:val="0"/>
                <w:sz w:val="24"/>
              </w:rPr>
              <w:t xml:space="preserve">Desert city with few trees and long history of extreme hot days</w:t>
            </w:r>
          </w:p>
        </w:tc>
        <w:tc>
          <w:tcPr>
            <w:tcW w:w="3010" w:type="dxa"/>
          </w:tcPr>
          <w:p>
            <w:r>
              <w:rPr>
                <w:rFonts w:ascii="Times New Roman" w:hAnsi="Times New Roman"/>
                <w:b w:val="0"/>
                <w:sz w:val="24"/>
              </w:rPr>
              <w:t xml:space="preserve">Locally appropriate shade and surface cooling concentrated where need is greatest</w:t>
            </w:r>
          </w:p>
        </w:tc>
      </w:tr>
    </w:tbl>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8. Future Scope</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Future scale-up must convert episodic relief into an enforceable entitlement to safe indoor temperature supported by assisted access. New York City's passage in December 2025 of Local Law 23 of 2026 "Cool Homes for All," which implements maximum temperature regulations for tenants during summer months, provides the regulatory anchor, with parallel action on energy insecurity identified as essential. The requirement is demonstrated by provisional surveillance to March 2026 reporting 21 heat-stress deaths in 2025, 19 from the 22-25 June heat wave, with the largest shares among Black residents (n=10, 48%) and Latino residents (n=9, 43%), and by the finding that deaths across all races occur most commonly at home. Expansion of the Home Energy Assistance Program Cooling Assistance Component to provide a free air conditioner with installation, with increased City and State funding to meet need throughout the summer, therefore defines the first increment. The consequence is that mortality concentrated in uncooled dwellings can be addressed through lasting housing standards rather than emergency response alone.</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Affordable energy and a protected electrical system must advance together if expanded cooling is to remain usable during peak demand. The City programme links universal at-home cooling to equitable access to affordable energy for low-income households, including affordable clean energy, subsidies for summer utility costs, prohibition of utility shut-offs during hot weather even where bills are unpaid, and improved funding and access to weatherization and energy-efficient home improvements to lower costs and decrease pressure on the grid. Grid protection is operationalised in part by discouraging excess cooling in offices and commercial establishments when the network is strained by heat. This coupling responds to the assessment that higher temperatures will damage roads, overload electrical grids and increase demand for cooling, with Cape Town anticipating over 20 additional days at or above 35 degrees C (95 degrees F) and up to 10 additional heatwaves per year by 2050 under 1 to 3 degrees C of global warming. The implication is that cooling equity will fail without simultaneous load management and cost relief.</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Neighbourhood cooling should be sequenced to deliver immediate indoor relief while vegetation and green infrastructure mature toward citywide targets. In Khayelitsha, the Heat Adaptation Benefits for Vulnerable groups in Africa project is rolling out reflective roof paint across homes to demonstrate cooling potential, with studies indicating indoor reductions of 1.5 to 5 degrees C and surrounding air reductions of 0.2 to 0.6 degrees C for every 10% increase in neighbourhood reflectivity. City leadership frames this as a first step to be followed by shaded areas, cooling centres and urban greenery in vulnerable communities. Such sequencing is necessary because trees require years to grow enough to provide shade, while Cool Cities Lab mapping in Cape Town shows hotspots coinciding with areas of limited tree cover and informal settlement. New York City's commitment under its Urban Forest Plan to expand tree canopy coverage to 30%, alongside broader green infrastructure, therefore supplies the long-term structural endpoint. The result is a dual-track pathway that avoids deferring protection until planting matures.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Durable protection requires codified standards for work and data-guided prioritisation of emergency resources under a hotter climatology. The City agenda calls for collaboration with local, state and federal partners to keep indoor and outdoor workplaces safe through occupational heat safety standards, a need reinforced by more than a doubling of days above 86 degrees F from an average of 14 to 32 days per summer over five decades and by the June 2025 episode that reached a 103 degrees F heat index at LaGuardia Airport on 24 June and 98 degrees F at Central Park, breaking the 24 June 1888 record. With extreme heat already contributing to an estimated 489,000 deaths each year globally and expected to become more severe, and with heat contributing to approximately 500 deaths on average each warm season in New York City, continued strengthening of cooling centres, awareness of cool indoor spaces and heat-health warnings prioritised to communities with greatest need is specified, with community-based organizations included in infrastructure decisions. The effect is to institutionalise heat governance rather than treating each heat wave as exceptional.</w:t>
      </w:r>
    </w:p>
    <w:p>
      <w:pPr>
        <w:jc w:val="center"/>
        <w:rPr>
          <w:rFonts w:ascii="Times New Roman" w:eastAsia="Times New Roman" w:hAnsi="Times New Roman" w:cs="Times New Roman"/>
          <w:i/>
          <w:sz w:val="20"/>
        </w:rPr>
      </w:pPr>
      <w:r>
        <w:rPr>
          <w:rFonts w:ascii="Times New Roman" w:eastAsia="Times New Roman" w:hAnsi="Times New Roman" w:cs="Times New Roman"/>
          <w:i/>
          <w:sz w:val="20"/>
        </w:rPr>
        <w:t xml:space="preserve">Scale-up pathway from immediate cooling relief to structural heat resilience.</w:t>
      </w:r>
    </w:p>
    <w:tbl>
      <w:tblPr>
        <w:tblW w:type="auto" w:w="0"/>
        <w:tblLook w:val="04A0" w:firstRow="1" w:firstColumn="1" w:lastRow="0" w:lastColumn="0" w:noHBand="0" w:noVBand="1"/>
      </w:tblPr>
      <w:tblGrid>
        <w:gridCol w:w="3008"/>
        <w:gridCol w:w="3008"/>
        <w:gridCol w:w="3010"/>
      </w:tblGrid>
      <w:tr>
        <w:tc>
          <w:tcPr>
            <w:tcW w:w="3008" w:type="dxa"/>
          </w:tcPr>
          <w:p>
            <w:r>
              <w:rPr>
                <w:rFonts w:ascii="Times New Roman" w:hAnsi="Times New Roman"/>
                <w:b/>
                <w:sz w:val="24"/>
              </w:rPr>
              <w:t xml:space="preserve">Priority area</w:t>
            </w:r>
          </w:p>
        </w:tc>
        <w:tc>
          <w:tcPr>
            <w:tcW w:w="3008" w:type="dxa"/>
          </w:tcPr>
          <w:p>
            <w:r>
              <w:rPr>
                <w:rFonts w:ascii="Times New Roman" w:hAnsi="Times New Roman"/>
                <w:b/>
                <w:sz w:val="24"/>
              </w:rPr>
              <w:t xml:space="preserve">Immediate intervention</w:t>
            </w:r>
          </w:p>
        </w:tc>
        <w:tc>
          <w:tcPr>
            <w:tcW w:w="3010" w:type="dxa"/>
          </w:tcPr>
          <w:p>
            <w:r>
              <w:rPr>
                <w:rFonts w:ascii="Times New Roman" w:hAnsi="Times New Roman"/>
                <w:b/>
                <w:sz w:val="24"/>
              </w:rPr>
              <w:t xml:space="preserve">Structural objective</w:t>
            </w:r>
          </w:p>
        </w:tc>
      </w:tr>
      <w:tr>
        <w:tc>
          <w:tcPr>
            <w:tcW w:w="3008" w:type="dxa"/>
          </w:tcPr>
          <w:p>
            <w:r>
              <w:rPr>
                <w:rFonts w:ascii="Times New Roman" w:hAnsi="Times New Roman"/>
                <w:b w:val="0"/>
                <w:sz w:val="24"/>
              </w:rPr>
              <w:t xml:space="preserve">Tenant indoor safety</w:t>
            </w:r>
          </w:p>
        </w:tc>
        <w:tc>
          <w:tcPr>
            <w:tcW w:w="3008" w:type="dxa"/>
          </w:tcPr>
          <w:p>
            <w:r>
              <w:rPr>
                <w:rFonts w:ascii="Times New Roman" w:hAnsi="Times New Roman"/>
                <w:b w:val="0"/>
                <w:sz w:val="24"/>
              </w:rPr>
              <w:t xml:space="preserve">Local Law 23 of 2026 Cool Homes for All: maximum summer temperature regulations</w:t>
            </w:r>
          </w:p>
        </w:tc>
        <w:tc>
          <w:tcPr>
            <w:tcW w:w="3010" w:type="dxa"/>
          </w:tcPr>
          <w:p>
            <w:r>
              <w:rPr>
                <w:rFonts w:ascii="Times New Roman" w:hAnsi="Times New Roman"/>
                <w:b w:val="0"/>
                <w:sz w:val="24"/>
              </w:rPr>
              <w:t xml:space="preserve">Universal at-home cooling with affordable energy for low-income households</w:t>
            </w:r>
          </w:p>
        </w:tc>
      </w:tr>
      <w:tr>
        <w:tc>
          <w:tcPr>
            <w:tcW w:w="3008" w:type="dxa"/>
          </w:tcPr>
          <w:p>
            <w:r>
              <w:rPr>
                <w:rFonts w:ascii="Times New Roman" w:hAnsi="Times New Roman"/>
                <w:b w:val="0"/>
                <w:sz w:val="24"/>
              </w:rPr>
              <w:t xml:space="preserve">Cooling access</w:t>
            </w:r>
          </w:p>
        </w:tc>
        <w:tc>
          <w:tcPr>
            <w:tcW w:w="3008" w:type="dxa"/>
          </w:tcPr>
          <w:p>
            <w:r>
              <w:rPr>
                <w:rFonts w:ascii="Times New Roman" w:hAnsi="Times New Roman"/>
                <w:b w:val="0"/>
                <w:sz w:val="24"/>
              </w:rPr>
              <w:t xml:space="preserve">Free air conditioner with installation via HEAP Cooling Assistance Component</w:t>
            </w:r>
          </w:p>
        </w:tc>
        <w:tc>
          <w:tcPr>
            <w:tcW w:w="3010" w:type="dxa"/>
          </w:tcPr>
          <w:p>
            <w:r>
              <w:rPr>
                <w:rFonts w:ascii="Times New Roman" w:hAnsi="Times New Roman"/>
                <w:b w:val="0"/>
                <w:sz w:val="24"/>
              </w:rPr>
              <w:t xml:space="preserve">Expanded City and State HEAP funding to meet need throughout summer</w:t>
            </w:r>
          </w:p>
        </w:tc>
      </w:tr>
      <w:tr>
        <w:tc>
          <w:tcPr>
            <w:tcW w:w="3008" w:type="dxa"/>
          </w:tcPr>
          <w:p>
            <w:r>
              <w:rPr>
                <w:rFonts w:ascii="Times New Roman" w:hAnsi="Times New Roman"/>
                <w:b w:val="0"/>
                <w:sz w:val="24"/>
              </w:rPr>
              <w:t xml:space="preserve">Grid and affordability</w:t>
            </w:r>
          </w:p>
        </w:tc>
        <w:tc>
          <w:tcPr>
            <w:tcW w:w="3008" w:type="dxa"/>
          </w:tcPr>
          <w:p>
            <w:r>
              <w:rPr>
                <w:rFonts w:ascii="Times New Roman" w:hAnsi="Times New Roman"/>
                <w:b w:val="0"/>
                <w:sz w:val="24"/>
              </w:rPr>
              <w:t xml:space="preserve">Discourage excess cooling in offices and commercial establishments during strain</w:t>
            </w:r>
          </w:p>
        </w:tc>
        <w:tc>
          <w:tcPr>
            <w:tcW w:w="3010" w:type="dxa"/>
          </w:tcPr>
          <w:p>
            <w:r>
              <w:rPr>
                <w:rFonts w:ascii="Times New Roman" w:hAnsi="Times New Roman"/>
                <w:b w:val="0"/>
                <w:sz w:val="24"/>
              </w:rPr>
              <w:t xml:space="preserve">Subsidies, shut-off prohibition, weatherization and efficient improvements</w:t>
            </w:r>
          </w:p>
        </w:tc>
      </w:tr>
      <w:tr>
        <w:tc>
          <w:tcPr>
            <w:tcW w:w="3008" w:type="dxa"/>
          </w:tcPr>
          <w:p>
            <w:r>
              <w:rPr>
                <w:rFonts w:ascii="Times New Roman" w:hAnsi="Times New Roman"/>
                <w:b w:val="0"/>
                <w:sz w:val="24"/>
              </w:rPr>
              <w:t xml:space="preserve">Neighbourhood cooling</w:t>
            </w:r>
          </w:p>
        </w:tc>
        <w:tc>
          <w:tcPr>
            <w:tcW w:w="3008" w:type="dxa"/>
          </w:tcPr>
          <w:p>
            <w:r>
              <w:rPr>
                <w:rFonts w:ascii="Times New Roman" w:hAnsi="Times New Roman"/>
                <w:b w:val="0"/>
                <w:sz w:val="24"/>
              </w:rPr>
              <w:t xml:space="preserve">Reflective roof paint, shaded areas and cooling centres in vulnerable areas</w:t>
            </w:r>
          </w:p>
        </w:tc>
        <w:tc>
          <w:tcPr>
            <w:tcW w:w="3010" w:type="dxa"/>
          </w:tcPr>
          <w:p>
            <w:r>
              <w:rPr>
                <w:rFonts w:ascii="Times New Roman" w:hAnsi="Times New Roman"/>
                <w:b w:val="0"/>
                <w:sz w:val="24"/>
              </w:rPr>
              <w:t xml:space="preserve">Green infrastructure and 30% tree canopy under NYC Urban Forest Plan</w:t>
            </w:r>
          </w:p>
        </w:tc>
      </w:tr>
      <w:tr>
        <w:tc>
          <w:tcPr>
            <w:tcW w:w="3008" w:type="dxa"/>
          </w:tcPr>
          <w:p>
            <w:r>
              <w:rPr>
                <w:rFonts w:ascii="Times New Roman" w:hAnsi="Times New Roman"/>
                <w:b w:val="0"/>
                <w:sz w:val="24"/>
              </w:rPr>
              <w:t xml:space="preserve">Workplace and emergency</w:t>
            </w:r>
          </w:p>
        </w:tc>
        <w:tc>
          <w:tcPr>
            <w:tcW w:w="3008" w:type="dxa"/>
          </w:tcPr>
          <w:p>
            <w:r>
              <w:rPr>
                <w:rFonts w:ascii="Times New Roman" w:hAnsi="Times New Roman"/>
                <w:b w:val="0"/>
                <w:sz w:val="24"/>
              </w:rPr>
              <w:t xml:space="preserve">Cooling centres, cool-space awareness and heat-health warnings for greatest need</w:t>
            </w:r>
          </w:p>
        </w:tc>
        <w:tc>
          <w:tcPr>
            <w:tcW w:w="3010" w:type="dxa"/>
          </w:tcPr>
          <w:p>
            <w:r>
              <w:rPr>
                <w:rFonts w:ascii="Times New Roman" w:hAnsi="Times New Roman"/>
                <w:b w:val="0"/>
                <w:sz w:val="24"/>
              </w:rPr>
              <w:t xml:space="preserve">Local, state and federal occupational heat safety standards</w:t>
            </w:r>
          </w:p>
        </w:tc>
      </w:tr>
    </w:tbl>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9. Conclusion</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The combined application of precise measurement, surface cooling and equity-centred protection constitutes a workable strategy for defeating urban heat islands. The experiences of Cape Town, Hermosillo and Atlanta demonstrate that cities can address the drivers of unequal heat exposure when detailed data are joined with understanding of residents' needs to identify neighbourhoods most at risk and prioritise solutions where impact will be greatest. With extreme heat already contributing to an estimated 489,000 deaths each year and projected to intensify, the implication is that isolated interventions are insufficient; only integrated investment now in trees, cool roofs and shade in the locations where residents feel heat most can lower temperatures and build a resilient future for all.</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Accurate characterisation of intra-urban thermal difference transforms inequity from a general concern into a targetable engineering problem. City leaders using detailed data can distinguish the blocks and populations facing the severest exposure and thereby direct limited resources to the places where cooling will produce the greatest health benefit. The Cool Cities Lab work, as taken up in Cape Town, Hermosillo and Atlanta, exemplifies this function by linking exposure mapping to resident needs assessment. The consequence is operational efficiency: measurement does not merely describe overheating but authorises prioritisation, ensuring that subsequent physical interventions redress rather than reproduce disparity.</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Engineered increases in reflectivity and vegetation deliver quantified reductions in indoor and ambient heat that validate surface cooling as the central physical lever. In Khayelitsha, one of Cape Town's poorest areas, the city through the Heat Adaptation Benefits for Vulnerable groups in Africa project is rolling out reflective roof paint across homes to demonstrate cooling potential, with studies showing cool roofs can lower indoor temperatures by 1.5 to 5 degrees C and reduce surrounding air temperatures by 0.2 to 0.6 degrees C for every 10% increase in neighborhood reflectivity. A 2022 estimate that an albedo increase of 0.1 in worldwide urban areas would produce cooling equivalent to absorbing about 44 Gt of CO2 emissions places this local effect in global perspective. Follow-on shaded areas, cooling centers and urban greenery are therefore not amenities but extensions of a proven thermal intervention that improves health conditions and public spaces while reducing compounding climate and social stressors.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Structural protection centred on uncooled households is what converts temperature reduction into prevented mortality. Heat contributes to the deaths of approximately 500 New Yorkers on average each year during the warm season of May through September, with inequities by race and income persisting among the people and neighborhoods most impacted, while deaths across all races were more common at home, underscoring the importance of access to and affordability of home cooling. New York City's stated response therefore couples long-lasting structural interventions with emergency preparedness: implementation of maximum temperature regulations under Local Law 23 of 2026 Cool Homes for All passed in December 2025, expanded Home Energy Assistance Program Cooling Assistance, grid protection, affordable energy and prohibition of hot-weather shut-offs, weatherization, expansion of tree canopy coverage to 30% under the NYC Urban Forest Plan, support for community-based organizations, cooling centers and occupational heat safety standards. The conclusion is that defeat of the heat island hazard requires entitlement to safe indoor temperature, not episodic relief alone.</w:t>
      </w:r>
    </w:p>
    <w:p>
      <w:pPr>
        <w:spacing w:line="259" w:lineRule="auto"/>
        <w:rPr>
          <w:rFonts w:ascii="Times New Roman" w:eastAsia="Times New Roman" w:hAnsi="Times New Roman" w:cs="Times New Roman"/>
          <w:b/>
          <w:sz w:val="32"/>
          <w:lang w:val="en-IN"/>
        </w:rPr>
      </w:pPr>
      <w:r>
        <w:rPr>
          <w:rFonts w:ascii="Times New Roman" w:eastAsia="Times New Roman" w:hAnsi="Times New Roman" w:cs="Times New Roman"/>
          <w:b/>
          <w:sz w:val="32"/>
          <w:lang w:val="en-IN"/>
        </w:rPr>
        <w:t xml:space="preserve">10. References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1. Coakley, J. A. (2003). Reflectance and albedo, surface. Encyclopedia of the Atmosphere. Academic Press.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2. Ouyang, Z. et al. (2022). Albedo changes caused by future urbanization contribute to global warming. Nature Communications.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3. Hansen, J. E. et al. (2025). Global Warming Has Accelerated: Are the United Nations and the Public Well-Informed? Environment.</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4. Roman, M. O. et al. (2010). Assessing the Coupling between Surface Albedo derived from MODIS and the Fraction of Diffuse Skylight. Remote Sensing of Environment.</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5. New York City Department of Health and Mental Hygiene. (2026). 2026 NYC Heat-Related Mortality Report. Environment and Health Data Portal.</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6. Madrigano, J. et al. (2015). A Case-Only Study of Vulnerability to Heat Wave-Related Mortality in New York City (2000-2011). Environmental Health Perspectives.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7. Metzger, K. B., Ito, K. and Matte, T. D. (2010). Summer heat and mortality in New York City: how hot is too hot? Environmental Health Perspectives.</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8. World Resources Institute Cool Cities Lab. (2026). Most Cities Are Getting Hotter. Not All Residents Feel It Equally: Cape Town and Hermosillo heat mapping and interventions. WRI.</w:t>
      </w:r>
    </w:p>
    <w:p>
      <w:pPr>
        <w:spacing w:line="259" w:lineRule="auto"/>
        <w:rPr>
          <w:rFonts w:ascii="Times New Roman" w:eastAsia="Times New Roman" w:hAnsi="Times New Roman" w:cs="Times New Roman"/>
          <w:sz w:val="24"/>
          <w:lang w:val="en-IN"/>
        </w:rPr>
      </w:pPr>
      <w:r>
        <w:rPr>
          <w:rFonts w:ascii="Times New Roman" w:eastAsia="Times New Roman" w:hAnsi="Times New Roman" w:cs="Times New Roman"/>
          <w:sz w:val="24"/>
          <w:lang w:val="en-IN"/>
        </w:rPr>
        <w:t xml:space="preserve">9. Georgia Tech, Smart Surfaces Coalition and WRI. (2023). Atlanta heat vulnerability mapping and cool-roof modelling leading to June 2025 cool-roof ordinance. Smart Surfaces Coalition / WRI Cool Cities Lab.</w:t>
      </w:r>
    </w:p>
    <w:sectPr w:rsidR="0024737E">
      <w:headerReference w:type="even" r:id="rId7"/>
      <w:headerReference w:type="default" r:id="rId8"/>
      <w:footerReference w:type="default" r:id="rId9"/>
      <w:headerReference w:type="first" r:id="rId1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D0B80" w14:textId="77777777" w:rsidR="00C0163D" w:rsidRDefault="00C0163D">
      <w:pPr>
        <w:spacing w:after="0" w:line="240" w:lineRule="auto"/>
      </w:pPr>
      <w:r>
        <w:separator/>
      </w:r>
    </w:p>
  </w:endnote>
  <w:endnote w:type="continuationSeparator" w:id="0">
    <w:p w14:paraId="34E91128" w14:textId="77777777" w:rsidR="00C0163D" w:rsidRDefault="00C01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3E491" w14:textId="77777777" w:rsidR="0024737E" w:rsidRDefault="00C0163D">
    <w:pPr>
      <w:pBdr>
        <w:top w:val="single" w:sz="4" w:space="1" w:color="D9D9D9"/>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r>
      <w:rPr>
        <w:color w:val="000000"/>
      </w:rPr>
      <w:t xml:space="preserve"> | </w:t>
    </w:r>
    <w:r>
      <w:rPr>
        <w:color w:val="7F7F7F"/>
      </w:rPr>
      <w:t>Page</w:t>
    </w:r>
  </w:p>
  <w:p w14:paraId="42E45DCD" w14:textId="77777777" w:rsidR="0024737E" w:rsidRDefault="0024737E">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872C3" w14:textId="77777777" w:rsidR="00C0163D" w:rsidRDefault="00C0163D">
      <w:pPr>
        <w:spacing w:after="0" w:line="240" w:lineRule="auto"/>
      </w:pPr>
      <w:r>
        <w:separator/>
      </w:r>
    </w:p>
  </w:footnote>
  <w:footnote w:type="continuationSeparator" w:id="0">
    <w:p w14:paraId="6AED0DCB" w14:textId="77777777" w:rsidR="00C0163D" w:rsidRDefault="00C016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82DE8" w14:textId="77777777" w:rsidR="003C6159" w:rsidRDefault="001A553E">
    <w:pPr>
      <w:widowControl w:val="0"/>
      <w:spacing w:after="0"/>
    </w:pPr>
    <w:r>
      <w:rPr>
        <w:rFonts w:ascii="Arial" w:eastAsia="Arial" w:hAnsi="Arial" w:cs="Arial"/>
        <w:noProof/>
      </w:rPr>
    </w:r>
    <w:r w:rsidR="001A553E">
      <w:rPr>
        <w:rFonts w:ascii="Arial" w:eastAsia="Arial" w:hAnsi="Arial" w:cs="Arial"/>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70.5pt;margin-top:186.45pt;width:327pt;height:347.9pt;z-index:-251657216;mso-position-horizontal:absolute;mso-position-horizontal-relative:margin;mso-position-vertical:absolute;mso-position-vertical-relative:margin">
          <v:imagedata r:id="rId1" o:title="image2"/>
          <w10:wrap anchorx="margin" anchory="margin"/>
        </v:shape>
      </w:pict>
    </w:r>
    <w:r>
      <w:rPr>
        <w:rFonts w:ascii="Arial" w:eastAsia="Arial" w:hAnsi="Arial" w:cs="Arial"/>
        <w:noProof/>
      </w:rPr>
      <w:drawing>
        <wp:inline distT="19050" distB="19050" distL="19050" distR="19050" wp14:anchorId="07462FC2" wp14:editId="2AA2D163">
          <wp:extent cx="5918200" cy="93581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5918200" cy="93581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82DE8" w14:textId="77777777" w:rsidR="003C6159" w:rsidRDefault="001A553E">
    <w:pPr>
      <w:widowControl w:val="0"/>
      <w:spacing w:after="0"/>
    </w:pPr>
    <w:r>
      <w:rPr>
        <w:rFonts w:ascii="Arial" w:eastAsia="Arial" w:hAnsi="Arial" w:cs="Arial"/>
        <w:noProof/>
      </w:rPr>
    </w:r>
    <w:r w:rsidR="001A553E">
      <w:rPr>
        <w:rFonts w:ascii="Arial" w:eastAsia="Arial" w:hAnsi="Arial" w:cs="Arial"/>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70.5pt;margin-top:186.45pt;width:327pt;height:347.9pt;z-index:-251657216;mso-position-horizontal:absolute;mso-position-horizontal-relative:margin;mso-position-vertical:absolute;mso-position-vertical-relative:margin">
          <v:imagedata r:id="rId1" o:title="image2"/>
          <w10:wrap anchorx="margin" anchory="margin"/>
        </v:shape>
      </w:pict>
    </w:r>
    <w:r>
      <w:rPr>
        <w:rFonts w:ascii="Arial" w:eastAsia="Arial" w:hAnsi="Arial" w:cs="Arial"/>
        <w:noProof/>
      </w:rPr>
      <w:drawing>
        <wp:inline distT="19050" distB="19050" distL="19050" distR="19050" wp14:anchorId="07462FC2" wp14:editId="2AA2D163">
          <wp:extent cx="5918200" cy="93581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5918200" cy="93581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82DE8" w14:textId="77777777" w:rsidR="003C6159" w:rsidRDefault="001A553E">
    <w:pPr>
      <w:widowControl w:val="0"/>
      <w:spacing w:after="0"/>
    </w:pPr>
    <w:r>
      <w:rPr>
        <w:rFonts w:ascii="Arial" w:eastAsia="Arial" w:hAnsi="Arial" w:cs="Arial"/>
        <w:noProof/>
      </w:rPr>
    </w:r>
    <w:r w:rsidR="001A553E">
      <w:rPr>
        <w:rFonts w:ascii="Arial" w:eastAsia="Arial" w:hAnsi="Arial" w:cs="Arial"/>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70.5pt;margin-top:186.45pt;width:327pt;height:347.9pt;z-index:-251657216;mso-position-horizontal:absolute;mso-position-horizontal-relative:margin;mso-position-vertical:absolute;mso-position-vertical-relative:margin">
          <v:imagedata r:id="rId1" o:title="image2"/>
          <w10:wrap anchorx="margin" anchory="margin"/>
        </v:shape>
      </w:pict>
    </w:r>
    <w:r>
      <w:rPr>
        <w:rFonts w:ascii="Arial" w:eastAsia="Arial" w:hAnsi="Arial" w:cs="Arial"/>
        <w:noProof/>
      </w:rPr>
      <w:drawing>
        <wp:inline distT="19050" distB="19050" distL="19050" distR="19050" wp14:anchorId="07462FC2" wp14:editId="2AA2D163">
          <wp:extent cx="5918200" cy="93581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5918200" cy="935815"/>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embedTrueTypeFonts/>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37E"/>
    <w:rsid w:val="0024737E"/>
    <w:rsid w:val="006B04B1"/>
    <w:rsid w:val="00C016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1B5BF35"/>
  <w15:docId w15:val="{BD96ADA3-9EA0-F64A-BC9C-02C81E4BF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263D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D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D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263D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3D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3D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3D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3D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3D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D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D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D4F"/>
    <w:rPr>
      <w:rFonts w:eastAsiaTheme="majorEastAsia" w:cstheme="majorBidi"/>
      <w:color w:val="272727" w:themeColor="text1" w:themeTint="D8"/>
    </w:rPr>
  </w:style>
  <w:style w:type="character" w:customStyle="1" w:styleId="TitleChar">
    <w:name w:val="Title Char"/>
    <w:basedOn w:val="DefaultParagraphFont"/>
    <w:link w:val="Title"/>
    <w:uiPriority w:val="10"/>
    <w:rsid w:val="00263D4F"/>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263D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D4F"/>
    <w:pPr>
      <w:spacing w:before="160"/>
      <w:jc w:val="center"/>
    </w:pPr>
    <w:rPr>
      <w:i/>
      <w:iCs/>
      <w:color w:val="404040" w:themeColor="text1" w:themeTint="BF"/>
    </w:rPr>
  </w:style>
  <w:style w:type="character" w:customStyle="1" w:styleId="QuoteChar">
    <w:name w:val="Quote Char"/>
    <w:basedOn w:val="DefaultParagraphFont"/>
    <w:link w:val="Quote"/>
    <w:uiPriority w:val="29"/>
    <w:rsid w:val="00263D4F"/>
    <w:rPr>
      <w:i/>
      <w:iCs/>
      <w:color w:val="404040" w:themeColor="text1" w:themeTint="BF"/>
    </w:rPr>
  </w:style>
  <w:style w:type="paragraph" w:styleId="ListParagraph">
    <w:name w:val="List Paragraph"/>
    <w:basedOn w:val="Normal"/>
    <w:uiPriority w:val="34"/>
    <w:qFormat/>
    <w:rsid w:val="00263D4F"/>
    <w:pPr>
      <w:ind w:left="720"/>
      <w:contextualSpacing/>
    </w:pPr>
  </w:style>
  <w:style w:type="character" w:styleId="IntenseEmphasis">
    <w:name w:val="Intense Emphasis"/>
    <w:basedOn w:val="DefaultParagraphFont"/>
    <w:uiPriority w:val="21"/>
    <w:qFormat/>
    <w:rsid w:val="00263D4F"/>
    <w:rPr>
      <w:i/>
      <w:iCs/>
      <w:color w:val="2F5496" w:themeColor="accent1" w:themeShade="BF"/>
    </w:rPr>
  </w:style>
  <w:style w:type="paragraph" w:styleId="IntenseQuote">
    <w:name w:val="Intense Quote"/>
    <w:basedOn w:val="Normal"/>
    <w:next w:val="Normal"/>
    <w:link w:val="IntenseQuoteChar"/>
    <w:uiPriority w:val="30"/>
    <w:qFormat/>
    <w:rsid w:val="00263D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3D4F"/>
    <w:rPr>
      <w:i/>
      <w:iCs/>
      <w:color w:val="2F5496" w:themeColor="accent1" w:themeShade="BF"/>
    </w:rPr>
  </w:style>
  <w:style w:type="character" w:styleId="IntenseReference">
    <w:name w:val="Intense Reference"/>
    <w:basedOn w:val="DefaultParagraphFont"/>
    <w:uiPriority w:val="32"/>
    <w:qFormat/>
    <w:rsid w:val="00263D4F"/>
    <w:rPr>
      <w:b/>
      <w:bCs/>
      <w:smallCaps/>
      <w:color w:val="2F5496" w:themeColor="accent1" w:themeShade="BF"/>
      <w:spacing w:val="5"/>
    </w:rPr>
  </w:style>
  <w:style w:type="paragraph" w:styleId="Header">
    <w:name w:val="header"/>
    <w:basedOn w:val="Normal"/>
    <w:link w:val="HeaderChar"/>
    <w:uiPriority w:val="99"/>
    <w:unhideWhenUsed/>
    <w:rsid w:val="00263D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3D4F"/>
  </w:style>
  <w:style w:type="paragraph" w:styleId="Footer">
    <w:name w:val="footer"/>
    <w:basedOn w:val="Normal"/>
    <w:link w:val="FooterChar"/>
    <w:uiPriority w:val="99"/>
    <w:unhideWhenUsed/>
    <w:rsid w:val="00263D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3D4F"/>
  </w:style>
  <w:style w:type="table" w:styleId="PlainTable1">
    <w:name w:val="Plain Table 1"/>
    <w:basedOn w:val="TableNormal"/>
    <w:uiPriority w:val="41"/>
    <w:rsid w:val="00263D4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pE2tFfyS4vl73pY61twnH2jfQ==">CgMxLjA4AHIhMXJOeW1OVWhCUDRfd3V3bXJFdWVfVFVjSUkzRV9SdGlH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1513</Words>
  <Characters>8627</Characters>
  <Application>Microsoft Office Word</Application>
  <DocSecurity>0</DocSecurity>
  <Lines>71</Lines>
  <Paragraphs>20</Paragraphs>
  <ScaleCrop>false</ScaleCrop>
  <Company/>
  <LinksUpToDate>false</LinksUpToDate>
  <CharactersWithSpaces>10120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Sonar</dc:creator>
  <cp:lastModifiedBy>Raunak Singh</cp:lastModifiedBy>
  <cp:revision>2</cp:revision>
  <dcterms:created xsi:type="dcterms:W3CDTF">2026-08-09T05:51:00Z</dcterms:created>
  <dcterms:modified xsi:type="dcterms:W3CDTF">2026-08-09T05:51:00Z</dcterms:modified>
</cp:coreProperties>
</file>