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Vehicle-to-Grid Electric Bus Depots: Turning Parked Fleets into Reliable Grid Assets</w:t>
      </w:r>
    </w:p>
    <w:p>
      <w:pPr>
        <w:jc w:val="center"/>
      </w:pPr>
    </w:p>
    <w:tbl>
      <w:tblPr>
        <w:tblStyle w:val="a"/>
        <w:tblW w:w="98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74"/>
        <w:gridCol w:w="3274"/>
        <w:gridCol w:w="3275"/>
      </w:tblGrid>
      <w:tr>
        <w:trPr>
          <w:trHeight w:val="349"/>
        </w:trPr>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Names</w:t>
            </w:r>
          </w:p>
        </w:tc>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Roll No.</w:t>
            </w:r>
          </w:p>
        </w:tc>
        <w:tc>
          <w:tcPr>
            <w:tcW w:w="3275"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Signature</w:t>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Rohan Das</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Mei Joseph</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Sara Ali</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bl>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 Review Report</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Submitted for the Subject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Electrical Engineering</w:t>
      </w:r>
    </w:p>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Under the Guidance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Dr. Neel Kapoor</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Smart Mobility Lab</w:t>
      </w:r>
    </w:p>
    <w:p>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A.Y. Final year</w:t>
      </w:r>
    </w:p>
    <w:p>
      <w:r>
        <w:br w:type="page"/>
      </w:r>
    </w:p>
    <w:p>
      <w:pPr>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 xml:space="preserve">TABLE OF CONTENT</w:t>
      </w:r>
    </w:p>
    <w:tbl>
      <w:tblPr>
        <w:tblStyle w:val="a0"/>
        <w:tblW w:w="8677" w:type="dxa"/>
        <w:jc w:val="center"/>
        <w:tblLayout w:type="fixed"/>
        <w:tblLook w:val="0400" w:firstRow="0" w:lastRow="0" w:firstColumn="0" w:lastColumn="0" w:noHBand="0" w:noVBand="1"/>
      </w:tblPr>
      <w:tblGrid>
        <w:gridCol w:w="2883"/>
        <w:gridCol w:w="2910"/>
        <w:gridCol w:w="2884"/>
      </w:tblGrid>
      <w:tr>
        <w:trPr>
          <w:trHeight w:val="942"/>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SR. NO.</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TITLE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PAGE NO.</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ACKNOWLEDGEMENT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THEORETICAL BACKGROUND</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V2G DEPOT GRID CONTROL STACK</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APPLICATION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DEPOT FLEET OPERATIONS WITHOUT SERVICE LOSS</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DEPOT ECONOMICS AND PILOT PERFORMANCE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FUTURE SCOPE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15</w:t>
            </w:r>
          </w:p>
        </w:tc>
      </w:tr>
    </w:tbl>
    <w:p>
      <w:r>
        <w:br w:type="page"/>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 Abstract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Parked electric school bus depots constitute dispatchable grid resources because their transport obligations leave prolonged idle periods that coincide with system stress. Electric school buses operate on set daily schedules and often sit idle in the summer and during portions of the school day when electricity demand is high, making them ideal for grid support. At least 26 utilities across 19 states have committed to pilot vehicle-to-grid programs in which electricity stored in bus batteries is later discharged onto the grid to stabilize fluctuating conditions and alleviate the need to start additional generation by shaving peak needs. The implication is that idleness itself becomes dependable availability for the grid without displacing the core transport function.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Dispatchable peak-shaving from such depots has been demonstrated operationally during the highest and most expensive demand intervals. In 2021, National Grid successfully delivered power from one electric school bus back to the grid for more than 50 hours over the course of the summer using vehicle-to-grid technology during peak demand times in Beverly, Massachusetts, helping reduce local emissions and decreasing the need to fire up costly fossil-fuel peaker plants. Between 2018 and September 2021, Con Edison tested the charging and discharging of a fleet of five school buses in partnership with the White Plains School District, Lion, Nuvve and National Express, successfully transmitting energy back into the grid for distribution directly to customers as a peak-shaving service. These pilots establish that depot-based fleets can export sustained, useful power precisely when the grid requires it.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Idle depots can simultaneously provide mobile emergency and building-level backup power that enhances resilience. With proper planning and infrastructure, electric school buses can provide power to school buildings that are often used as shelters and to other equipment such as cell phones during power outages, while stored electricity can be used to balance local distribution systems and to provide emergency back-up power to homes and businesses through vehicle-to-grid and vehicle-to-building integration. DTE Energy's pilot testing of electric school bus vehicle-to-grid capabilities to provide backup power to buildings during emergencies exemplifies this application. The significance is that the same parked capacity used for daily peak reduction offers a contingency resource for hurricanes, fires, floods and other emergencies.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These grid contributions are compatible with preservation of daily service and with improving depot economics at increasing national scale. When planned according to the energy needs of the fleet and the site, bidirectional fleets can participate in demand response or time-of-use arbitrage, with charging shifted to lower-cost off-peak rates and curtailment during peak loads to reduce infrastructure burden and energy costs, including frequency regulation for short-term balancing of demand and supply and reduced brownouts. Power provided to the grid or buildings could offer revenue to help pay for the buses. Selection in fall 2024 by the U.S. Department of Energy Grid Deployment Office of Highland's Scaling Vehicle-to-Grid Integration Nationally project for approximately $10.9 million under the Grid Resilience and Innovation Partnerships Program, to deploy 14 pilot projects with 12 utility providers and other partners, confirms that service-preserving, value-stacked depot operation is becoming a replicable grid-asset model.</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2. Acknowledgement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We express our sincere gratitude to our project guide and the faculty of the Department of Electrical Engineering for their guidance on bidirectional power systems, control and grid integration, and to our institution for providing laboratory, library and computing support that made this depot-focused study possible.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We are especially thankful to the utilities, school districts, manufacturers and DOE-funded teams whose pilots and open data enable this report, including National Grid at Beverly, Con Edison with White Plains School District, Lion, Blue Bird, BorgWarner and Nuvve, and Highland's SVIN project and the WRI Electric School Bus Initiative for documenting V2G performance and lessons across the United States.</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3. Introduction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case for vehicle-to-grid bus depots is timely because public support for fleet electrification now coincides with utility demand for distributed flexibility to advance health, climate and economic objectives. Federal and state-level investments, alongside other funding and financing opportunities, promise to accelerate the transition from diesel to electricity, while at least 26 utilities across 19 states have committed to pilot electric school bus vehicle-to-grid programs that store electricity in bus batteries and later discharge it. This convergence therefore positions the depot not as a passive charging site but as an actively supported interface between clean transport and grid modernization.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Bus fleets provide an unusually compatible grid resource because fixed transport duties create prolonged availability during periods of system stress. School buses operate on set daily schedules and often sit idle in the summer and during portions of the school day when electricity demand is high, which makes them ideal for grid support applications. The implication is that electrification does not merely add load; it aggregates controllable storage whose natural idle windows align with the need for daytime flexibility without requiring additional land or dedicated stationary assets.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Depot-based discharge directly addresses operational grid stress by returning stored energy to stabilize conditions and to reduce reliance on peaking resources. The stored power can help stabilize fluctuating energy conditions, alleviate the need to start up additional power generation sources by shaving peak energy needs, and enable greater renewable electricity generation. Because the power provided to the grid or buildings could offer revenue to help pay for the buses, this peak-shaving and renewable-support function creates a mutual benefit in which schools offset costs while the utility or other entity obtains dispatchable capacity.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Climate disruption and distributional inequity further establish depots as resilience assets that extend beyond transport service. Natural disasters including hurricanes, fires and floods are becoming more frequent and more intense, floods will affect more than 145 million people by 2030, and resulting outages can stop core community operations while exposing vulnerable residents to disproportionate risk. With proper planning, buses can supply school buildings often used as shelters and other equipment such as cell phones, an approach already reflected in the Portland Clean Energy Fund objective to create a resiliency hub in a low-income community and in DTE Energy's five-year pilot testing backup power to buildings; federal timeliness is underscored by the Department of Energy Grid Deployment Office selection in fall 2024 of Highland's Scaling Vehicle-to-Grid Integration Nationally project for approximately $10.9 million to deploy 14 pilot projects with 12 utility providers under the Grid Resilience and Innovation Partnerships Program for a reliable grid prepared for extreme weather with affordable clean energy.</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Converging health, climate and resilience drivers that make V2G bus depots timely</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Societal goal</w:t>
            </w:r>
          </w:p>
        </w:tc>
        <w:tc>
          <w:tcPr>
            <w:tcW w:w="3008" w:type="dxa"/>
          </w:tcPr>
          <w:p>
            <w:r>
              <w:rPr>
                <w:rFonts w:ascii="Times New Roman" w:hAnsi="Times New Roman"/>
                <w:b/>
                <w:sz w:val="24"/>
              </w:rPr>
              <w:t xml:space="preserve">Fleet-grid link</w:t>
            </w:r>
          </w:p>
        </w:tc>
        <w:tc>
          <w:tcPr>
            <w:tcW w:w="3010" w:type="dxa"/>
          </w:tcPr>
          <w:p>
            <w:r>
              <w:rPr>
                <w:rFonts w:ascii="Times New Roman" w:hAnsi="Times New Roman"/>
                <w:b/>
                <w:sz w:val="24"/>
              </w:rPr>
              <w:t xml:space="preserve">Depot function</w:t>
            </w:r>
          </w:p>
        </w:tc>
      </w:tr>
      <w:tr>
        <w:tc>
          <w:tcPr>
            <w:tcW w:w="3008" w:type="dxa"/>
          </w:tcPr>
          <w:p>
            <w:r>
              <w:rPr>
                <w:rFonts w:ascii="Times New Roman" w:hAnsi="Times New Roman"/>
                <w:b w:val="0"/>
                <w:sz w:val="24"/>
              </w:rPr>
              <w:t xml:space="preserve">Health and equity</w:t>
            </w:r>
          </w:p>
        </w:tc>
        <w:tc>
          <w:tcPr>
            <w:tcW w:w="3008" w:type="dxa"/>
          </w:tcPr>
          <w:p>
            <w:r>
              <w:rPr>
                <w:rFonts w:ascii="Times New Roman" w:hAnsi="Times New Roman"/>
                <w:b w:val="0"/>
                <w:sz w:val="24"/>
              </w:rPr>
              <w:t xml:space="preserve">Underserved areas face higher pollution and climate susceptibility</w:t>
            </w:r>
          </w:p>
        </w:tc>
        <w:tc>
          <w:tcPr>
            <w:tcW w:w="3010" w:type="dxa"/>
          </w:tcPr>
          <w:p>
            <w:r>
              <w:rPr>
                <w:rFonts w:ascii="Times New Roman" w:hAnsi="Times New Roman"/>
                <w:b w:val="0"/>
                <w:sz w:val="24"/>
              </w:rPr>
              <w:t xml:space="preserve">Prioritize partners by lunch eligibility, income and pollution exposure</w:t>
            </w:r>
          </w:p>
        </w:tc>
      </w:tr>
      <w:tr>
        <w:tc>
          <w:tcPr>
            <w:tcW w:w="3008" w:type="dxa"/>
          </w:tcPr>
          <w:p>
            <w:r>
              <w:rPr>
                <w:rFonts w:ascii="Times New Roman" w:hAnsi="Times New Roman"/>
                <w:b w:val="0"/>
                <w:sz w:val="24"/>
              </w:rPr>
              <w:t xml:space="preserve">Climate and renewables</w:t>
            </w:r>
          </w:p>
        </w:tc>
        <w:tc>
          <w:tcPr>
            <w:tcW w:w="3008" w:type="dxa"/>
          </w:tcPr>
          <w:p>
            <w:r>
              <w:rPr>
                <w:rFonts w:ascii="Times New Roman" w:hAnsi="Times New Roman"/>
                <w:b w:val="0"/>
                <w:sz w:val="24"/>
              </w:rPr>
              <w:t xml:space="preserve">Stored bus energy enables greater renewable generation</w:t>
            </w:r>
          </w:p>
        </w:tc>
        <w:tc>
          <w:tcPr>
            <w:tcW w:w="3010" w:type="dxa"/>
          </w:tcPr>
          <w:p>
            <w:r>
              <w:rPr>
                <w:rFonts w:ascii="Times New Roman" w:hAnsi="Times New Roman"/>
                <w:b w:val="0"/>
                <w:sz w:val="24"/>
              </w:rPr>
              <w:t xml:space="preserve">Balance local distribution and maximize sustainable consumption</w:t>
            </w:r>
          </w:p>
        </w:tc>
      </w:tr>
      <w:tr>
        <w:tc>
          <w:tcPr>
            <w:tcW w:w="3008" w:type="dxa"/>
          </w:tcPr>
          <w:p>
            <w:r>
              <w:rPr>
                <w:rFonts w:ascii="Times New Roman" w:hAnsi="Times New Roman"/>
                <w:b w:val="0"/>
                <w:sz w:val="24"/>
              </w:rPr>
              <w:t xml:space="preserve">Peak stress relief</w:t>
            </w:r>
          </w:p>
        </w:tc>
        <w:tc>
          <w:tcPr>
            <w:tcW w:w="3008" w:type="dxa"/>
          </w:tcPr>
          <w:p>
            <w:r>
              <w:rPr>
                <w:rFonts w:ascii="Times New Roman" w:hAnsi="Times New Roman"/>
                <w:b w:val="0"/>
                <w:sz w:val="24"/>
              </w:rPr>
              <w:t xml:space="preserve">Midday and summer idleness overlaps high electricity demand</w:t>
            </w:r>
          </w:p>
        </w:tc>
        <w:tc>
          <w:tcPr>
            <w:tcW w:w="3010" w:type="dxa"/>
          </w:tcPr>
          <w:p>
            <w:r>
              <w:rPr>
                <w:rFonts w:ascii="Times New Roman" w:hAnsi="Times New Roman"/>
                <w:b w:val="0"/>
                <w:sz w:val="24"/>
              </w:rPr>
              <w:t xml:space="preserve">Stabilize fluctuations and displace startup of added generation</w:t>
            </w:r>
          </w:p>
        </w:tc>
      </w:tr>
      <w:tr>
        <w:tc>
          <w:tcPr>
            <w:tcW w:w="3008" w:type="dxa"/>
          </w:tcPr>
          <w:p>
            <w:r>
              <w:rPr>
                <w:rFonts w:ascii="Times New Roman" w:hAnsi="Times New Roman"/>
                <w:b w:val="0"/>
                <w:sz w:val="24"/>
              </w:rPr>
              <w:t xml:space="preserve">Community resilience</w:t>
            </w:r>
          </w:p>
        </w:tc>
        <w:tc>
          <w:tcPr>
            <w:tcW w:w="3008" w:type="dxa"/>
          </w:tcPr>
          <w:p>
            <w:r>
              <w:rPr>
                <w:rFonts w:ascii="Times New Roman" w:hAnsi="Times New Roman"/>
                <w:b w:val="0"/>
                <w:sz w:val="24"/>
              </w:rPr>
              <w:t xml:space="preserve">Hurricanes, fires and floods cause outages; schools serve as shelters</w:t>
            </w:r>
          </w:p>
        </w:tc>
        <w:tc>
          <w:tcPr>
            <w:tcW w:w="3010" w:type="dxa"/>
          </w:tcPr>
          <w:p>
            <w:r>
              <w:rPr>
                <w:rFonts w:ascii="Times New Roman" w:hAnsi="Times New Roman"/>
                <w:b w:val="0"/>
                <w:sz w:val="24"/>
              </w:rPr>
              <w:t xml:space="preserve">Provide backup to buildings and essential equipment</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4. Theoretical Background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Depot vehicle-grid integration is founded on a hierarchy of control that advances from scheduled consumption to reversible export. Managed charging provides the base layer, defined as software used to control charging stations or vehicles and manage when a vehicle charges, enabling scheduled and automated sessions when operations permit and electricity is least expensive to avoid peak demand rates. Bidirectional operation extends this logic: a similarly capable vehicle and electric vehicle supply equipment pairing allows the vehicle both to receive energy and to provide energy to an external load. For a bus depot, therefore, the theoretical progression is from shifting load away from priced peaks toward actively discharging stored energy for building or system needs.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Vehicle-to-building and vehicle-to-grid constitute distinct but complementary discharge pathways within that hierarchy. Vehicle-to-building requires a bidirectional charger capable of sending energy from the vehicle to power a building, allowing the battery to serve loads during peak pricing periods with potential savings on utility bills and to provide backup generation in case of an outage. Vehicle-to-grid enables the customer both to charge and to send energy back to the utility grid, with compensation in exchange for energy exported. For depots that combine administrative buildings, maintenance facilities and utility interconnections on one site, this distinction clarifies when buses should offset local demand and when they should function as compensated grid resources.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As mobile storage, aggregated fleets overcome the scale limits of single-vehicle applications and complement existing distributed resources. An individual light-duty battery of approximately 15-100 kWh is suited to smaller uses such as individual buildings, where it can optimize photovoltaic use and replace or supplement emergency diesel generators, whereas larger bidirectional fleets can be employed for larger applications. Bidirectional solutions can complement solar photovoltaic arrays and other distributed energy resources or supplement diesel generators, and unlike stationary assets they can be mobilized prior to planned outages or arrive after an unexpected outage to supplement local generation or serve as emergency reserve. Depot theory therefore emphasizes reuse of site capabilities, such as an inverter already present due to solar or a transfer switch already present due to emergency generation, alongside time-of-use arbitrage, on-site consumption of local generation, and avoidance of photovoltaic curtailment; most building applications are best suited to increase the capabilities of an existing backup solution rather than to power a building alone, a finding reinforced by documented failure rates of poorly maintained emergency diesel generators.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Reliable depot dispatch depends on interconnection safety and communication interoperability codified in UL 9741 and ISO 15118-20. Vehicle-to-grid standards are complex because they regulate power, safety and electrical requirements when discharging into the grid, and progress has been slow because most governments have not certified bidirectional chargers on grid-compliance and regulatory grounds. In North America, UL 9741 is the proposed standard for bidirectional charging system equipment, built around UL 1741 and the IEEE 1547 standard for interconnecting distributed energy resources with power systems, while ISO 15118-20 specifies the vehicle-to-grid communication interface between the vehicle, whether battery electric or plug-in hybrid, and the supply equipment. Practical interoperability is demonstrated by certified and advanced-communication hardware, including a 20 kW UL 9741 certified direct-current unit, three-phase 11 kW and 22 kW units supporting two-way direct-current transfer up to 400 V with OCPP 2.0.1 and 1.6J, Websockets, MQTT and SmartHome protocols, and units reporting up to 95% operating efficiency and 97% peak efficiency with ISO 15118-2 and 15118-20 support over WiFi, 4G and Bluetooth, establishing how buses can present as compliant, communicative distributed resources.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Functional comparison of managed charging, building export and grid export for depot control</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Control Mode</w:t>
            </w:r>
          </w:p>
        </w:tc>
        <w:tc>
          <w:tcPr>
            <w:tcW w:w="3008" w:type="dxa"/>
          </w:tcPr>
          <w:p>
            <w:r>
              <w:rPr>
                <w:rFonts w:ascii="Times New Roman" w:hAnsi="Times New Roman"/>
                <w:b/>
                <w:sz w:val="24"/>
              </w:rPr>
              <w:t xml:space="preserve">Power Flow</w:t>
            </w:r>
          </w:p>
        </w:tc>
        <w:tc>
          <w:tcPr>
            <w:tcW w:w="3010" w:type="dxa"/>
          </w:tcPr>
          <w:p>
            <w:r>
              <w:rPr>
                <w:rFonts w:ascii="Times New Roman" w:hAnsi="Times New Roman"/>
                <w:b/>
                <w:sz w:val="24"/>
              </w:rPr>
              <w:t xml:space="preserve">Depot Grid Function</w:t>
            </w:r>
          </w:p>
        </w:tc>
      </w:tr>
      <w:tr>
        <w:tc>
          <w:tcPr>
            <w:tcW w:w="3008" w:type="dxa"/>
          </w:tcPr>
          <w:p>
            <w:r>
              <w:rPr>
                <w:rFonts w:ascii="Times New Roman" w:hAnsi="Times New Roman"/>
                <w:b w:val="0"/>
                <w:sz w:val="24"/>
              </w:rPr>
              <w:t xml:space="preserve">Managed Charging</w:t>
            </w:r>
          </w:p>
        </w:tc>
        <w:tc>
          <w:tcPr>
            <w:tcW w:w="3008" w:type="dxa"/>
          </w:tcPr>
          <w:p>
            <w:r>
              <w:rPr>
                <w:rFonts w:ascii="Times New Roman" w:hAnsi="Times New Roman"/>
                <w:b w:val="0"/>
                <w:sz w:val="24"/>
              </w:rPr>
              <w:t xml:space="preserve">Grid-to-vehicle, software-scheduled</w:t>
            </w:r>
          </w:p>
        </w:tc>
        <w:tc>
          <w:tcPr>
            <w:tcW w:w="3010" w:type="dxa"/>
          </w:tcPr>
          <w:p>
            <w:r>
              <w:rPr>
                <w:rFonts w:ascii="Times New Roman" w:hAnsi="Times New Roman"/>
                <w:b w:val="0"/>
                <w:sz w:val="24"/>
              </w:rPr>
              <w:t xml:space="preserve">Automates charging off-peak to avoid demand rates</w:t>
            </w:r>
          </w:p>
        </w:tc>
      </w:tr>
      <w:tr>
        <w:tc>
          <w:tcPr>
            <w:tcW w:w="3008" w:type="dxa"/>
          </w:tcPr>
          <w:p>
            <w:r>
              <w:rPr>
                <w:rFonts w:ascii="Times New Roman" w:hAnsi="Times New Roman"/>
                <w:b w:val="0"/>
                <w:sz w:val="24"/>
              </w:rPr>
              <w:t xml:space="preserve">Vehicle-to-Building</w:t>
            </w:r>
          </w:p>
        </w:tc>
        <w:tc>
          <w:tcPr>
            <w:tcW w:w="3008" w:type="dxa"/>
          </w:tcPr>
          <w:p>
            <w:r>
              <w:rPr>
                <w:rFonts w:ascii="Times New Roman" w:hAnsi="Times New Roman"/>
                <w:b w:val="0"/>
                <w:sz w:val="24"/>
              </w:rPr>
              <w:t xml:space="preserve">Bidirectional vehicle to building load</w:t>
            </w:r>
          </w:p>
        </w:tc>
        <w:tc>
          <w:tcPr>
            <w:tcW w:w="3010" w:type="dxa"/>
          </w:tcPr>
          <w:p>
            <w:r>
              <w:rPr>
                <w:rFonts w:ascii="Times New Roman" w:hAnsi="Times New Roman"/>
                <w:b w:val="0"/>
                <w:sz w:val="24"/>
              </w:rPr>
              <w:t xml:space="preserve">Peak-price relief and outage backup power</w:t>
            </w:r>
          </w:p>
        </w:tc>
      </w:tr>
      <w:tr>
        <w:tc>
          <w:tcPr>
            <w:tcW w:w="3008" w:type="dxa"/>
          </w:tcPr>
          <w:p>
            <w:r>
              <w:rPr>
                <w:rFonts w:ascii="Times New Roman" w:hAnsi="Times New Roman"/>
                <w:b w:val="0"/>
                <w:sz w:val="24"/>
              </w:rPr>
              <w:t xml:space="preserve">Vehicle-to-Grid</w:t>
            </w:r>
          </w:p>
        </w:tc>
        <w:tc>
          <w:tcPr>
            <w:tcW w:w="3008" w:type="dxa"/>
          </w:tcPr>
          <w:p>
            <w:r>
              <w:rPr>
                <w:rFonts w:ascii="Times New Roman" w:hAnsi="Times New Roman"/>
                <w:b w:val="0"/>
                <w:sz w:val="24"/>
              </w:rPr>
              <w:t xml:space="preserve">Bidirectional vehicle to utility grid</w:t>
            </w:r>
          </w:p>
        </w:tc>
        <w:tc>
          <w:tcPr>
            <w:tcW w:w="3010" w:type="dxa"/>
          </w:tcPr>
          <w:p>
            <w:r>
              <w:rPr>
                <w:rFonts w:ascii="Times New Roman" w:hAnsi="Times New Roman"/>
                <w:b w:val="0"/>
                <w:sz w:val="24"/>
              </w:rPr>
              <w:t xml:space="preserve">Compensated export and demand response</w:t>
            </w:r>
          </w:p>
        </w:tc>
      </w:tr>
      <w:tr>
        <w:tc>
          <w:tcPr>
            <w:tcW w:w="3008" w:type="dxa"/>
          </w:tcPr>
          <w:p>
            <w:r>
              <w:rPr>
                <w:rFonts w:ascii="Times New Roman" w:hAnsi="Times New Roman"/>
                <w:b w:val="0"/>
                <w:sz w:val="24"/>
              </w:rPr>
              <w:t xml:space="preserve">Aggregated Mobile Storage</w:t>
            </w:r>
          </w:p>
        </w:tc>
        <w:tc>
          <w:tcPr>
            <w:tcW w:w="3008" w:type="dxa"/>
          </w:tcPr>
          <w:p>
            <w:r>
              <w:rPr>
                <w:rFonts w:ascii="Times New Roman" w:hAnsi="Times New Roman"/>
                <w:b w:val="0"/>
                <w:sz w:val="24"/>
              </w:rPr>
              <w:t xml:space="preserve">Fleet discharge with PV and DERs</w:t>
            </w:r>
          </w:p>
        </w:tc>
        <w:tc>
          <w:tcPr>
            <w:tcW w:w="3010" w:type="dxa"/>
          </w:tcPr>
          <w:p>
            <w:r>
              <w:rPr>
                <w:rFonts w:ascii="Times New Roman" w:hAnsi="Times New Roman"/>
                <w:b w:val="0"/>
                <w:sz w:val="24"/>
              </w:rPr>
              <w:t xml:space="preserve">Supplements generators and local generation</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5. V2G Depot Grid Control Stack</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Reliable depot dispatch rests on bidirectional power hardware that executes reversible flow only under supervisory command. Bidirectional chargers permit two-way exchange so a bus battery can discharge to the grid, and field deployments specify this capability as 60kW bidirectional DC fast charging. In the Cajon Valley pilot with San Diego Gas and Electric, six new buses were linked to 60kW bidirectional DC fast chargers with Nuvve, while Williamsfield connected four Blue Bird buses to Borg Warner 60kW units with Nuvve communications. A Brooklyn maintenance facility test further defined the building block as three Nissan Leaf vehicles paired with three Fermata bidirectional DC chargers to provide 45 kW of on-demand power to Con Edison. The implication is that the charger, not the vehicle alone, standardizes safe inversion, metering and disconnection.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An aggregation layer converts multiple plugged-in buses into a single resource that a grid operator can call upon. Nuvve Corp performed this role for the University of Delaware by combining fleet vehicles and stationary batteries for participation with PJM, a regional transmission organization, where the university operates as a registered market participant. The operating obligation was to keep vehicles plugged in and available when called upon for grid support, with PJM paying the market rate of roughly $1,200 per year per battery vehicle available. A comparable function appears in Copenhagen, where Nissan, Enel and Nuvve enabled Frederiksberg Forsyning to charge or discharge plugged-in vehicles on demand to stabilize the national grid from a hub of approximately 100 kW. Aggregation therefore provides the monitoring, pooling and settlement functions that make dispersed buses legible and compensable as grid capacity.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Utility price and peak-demand signals govern when the stack charges and when it exports. Managed charging software schedules and automates sessions for times convenient to the fleet and when electricity is least expensive to avoid peak demand rates, while vehicle-to-grid operation extends the same logic by returning energy for compensation. National Grid demonstrated this timing in Beverly, Massachusetts, by drawing power from one Lion Electric bus for more than 50 hours across the summer during periods of highest and most expensive demand, thereby reducing local emissions and the need to operate costly fossil fuel peaker plants. Con Edison demonstrated a larger sequence with White Plains School District, Lion, Nuvve and National Express, successfully charging and discharging five buses between 2018 and September 2021 to provide peak-shaving energy distributed directly to customers. Dispatch is thus tied to measured system need and value rather than continuous export.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control chain performs only where connection discipline and trained supervision are maintained. Market participation explicitly requires continuous plugged-in availability, and its absence prevents dispatch regardless of hardware readiness. In 2015 the Massachusetts Department of Energy Resources deployed three buses across three districts with the intent to test vehicle-to-grid use, yet lack of resources and trained staff at the districts prevented testing of the vehicle-to-grid phase. By contrast, the Beverly delivery was undertaken in partnership with Highland Electric Fleets and the White Plains cycling was undertaken with National Express as operator alongside Lion and Nuvve, enabling sustained charge-discharge coordination with Con Edison and National Grid. The operational lesson is that staffing, contracting and connection protocols constitute a final safety layer that determines whether electronic signals translate into dependable grid response.</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Control functions and pilot demonstrations forming the depot V2G dispatch chain.</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Control Layer</w:t>
            </w:r>
          </w:p>
        </w:tc>
        <w:tc>
          <w:tcPr>
            <w:tcW w:w="3008" w:type="dxa"/>
          </w:tcPr>
          <w:p>
            <w:r>
              <w:rPr>
                <w:rFonts w:ascii="Times New Roman" w:hAnsi="Times New Roman"/>
                <w:b/>
                <w:sz w:val="24"/>
              </w:rPr>
              <w:t xml:space="preserve">Depot Function</w:t>
            </w:r>
          </w:p>
        </w:tc>
        <w:tc>
          <w:tcPr>
            <w:tcW w:w="3010" w:type="dxa"/>
          </w:tcPr>
          <w:p>
            <w:r>
              <w:rPr>
                <w:rFonts w:ascii="Times New Roman" w:hAnsi="Times New Roman"/>
                <w:b/>
                <w:sz w:val="24"/>
              </w:rPr>
              <w:t xml:space="preserve">Pilot Demonstration</w:t>
            </w:r>
          </w:p>
        </w:tc>
      </w:tr>
      <w:tr>
        <w:tc>
          <w:tcPr>
            <w:tcW w:w="3008" w:type="dxa"/>
          </w:tcPr>
          <w:p>
            <w:r>
              <w:rPr>
                <w:rFonts w:ascii="Times New Roman" w:hAnsi="Times New Roman"/>
                <w:b w:val="0"/>
                <w:sz w:val="24"/>
              </w:rPr>
              <w:t xml:space="preserve">Managed charging software</w:t>
            </w:r>
          </w:p>
        </w:tc>
        <w:tc>
          <w:tcPr>
            <w:tcW w:w="3008" w:type="dxa"/>
          </w:tcPr>
          <w:p>
            <w:r>
              <w:rPr>
                <w:rFonts w:ascii="Times New Roman" w:hAnsi="Times New Roman"/>
                <w:b w:val="0"/>
                <w:sz w:val="24"/>
              </w:rPr>
              <w:t xml:space="preserve">Automate charging for convenient times and lowest-cost energy</w:t>
            </w:r>
          </w:p>
        </w:tc>
        <w:tc>
          <w:tcPr>
            <w:tcW w:w="3010" w:type="dxa"/>
          </w:tcPr>
          <w:p>
            <w:r>
              <w:rPr>
                <w:rFonts w:ascii="Times New Roman" w:hAnsi="Times New Roman"/>
                <w:b w:val="0"/>
                <w:sz w:val="24"/>
              </w:rPr>
              <w:t xml:space="preserve">Deployments scheduled to avoid peak demand rates</w:t>
            </w:r>
          </w:p>
        </w:tc>
      </w:tr>
      <w:tr>
        <w:tc>
          <w:tcPr>
            <w:tcW w:w="3008" w:type="dxa"/>
          </w:tcPr>
          <w:p>
            <w:r>
              <w:rPr>
                <w:rFonts w:ascii="Times New Roman" w:hAnsi="Times New Roman"/>
                <w:b w:val="0"/>
                <w:sz w:val="24"/>
              </w:rPr>
              <w:t xml:space="preserve">Bidirectional DC hardware</w:t>
            </w:r>
          </w:p>
        </w:tc>
        <w:tc>
          <w:tcPr>
            <w:tcW w:w="3008" w:type="dxa"/>
          </w:tcPr>
          <w:p>
            <w:r>
              <w:rPr>
                <w:rFonts w:ascii="Times New Roman" w:hAnsi="Times New Roman"/>
                <w:b w:val="0"/>
                <w:sz w:val="24"/>
              </w:rPr>
              <w:t xml:space="preserve">Execute reversible conversion for export to grid</w:t>
            </w:r>
          </w:p>
        </w:tc>
        <w:tc>
          <w:tcPr>
            <w:tcW w:w="3010" w:type="dxa"/>
          </w:tcPr>
          <w:p>
            <w:r>
              <w:rPr>
                <w:rFonts w:ascii="Times New Roman" w:hAnsi="Times New Roman"/>
                <w:b w:val="0"/>
                <w:sz w:val="24"/>
              </w:rPr>
              <w:t xml:space="preserve">60kW units in Cajon Valley and Williamsfield; Fermata units for 45kW Brooklyn test</w:t>
            </w:r>
          </w:p>
        </w:tc>
      </w:tr>
      <w:tr>
        <w:tc>
          <w:tcPr>
            <w:tcW w:w="3008" w:type="dxa"/>
          </w:tcPr>
          <w:p>
            <w:r>
              <w:rPr>
                <w:rFonts w:ascii="Times New Roman" w:hAnsi="Times New Roman"/>
                <w:b w:val="0"/>
                <w:sz w:val="24"/>
              </w:rPr>
              <w:t xml:space="preserve">Aggregator platform</w:t>
            </w:r>
          </w:p>
        </w:tc>
        <w:tc>
          <w:tcPr>
            <w:tcW w:w="3008" w:type="dxa"/>
          </w:tcPr>
          <w:p>
            <w:r>
              <w:rPr>
                <w:rFonts w:ascii="Times New Roman" w:hAnsi="Times New Roman"/>
                <w:b w:val="0"/>
                <w:sz w:val="24"/>
              </w:rPr>
              <w:t xml:space="preserve">Pool plugged-in buses for operator dispatch</w:t>
            </w:r>
          </w:p>
        </w:tc>
        <w:tc>
          <w:tcPr>
            <w:tcW w:w="3010" w:type="dxa"/>
          </w:tcPr>
          <w:p>
            <w:r>
              <w:rPr>
                <w:rFonts w:ascii="Times New Roman" w:hAnsi="Times New Roman"/>
                <w:b w:val="0"/>
                <w:sz w:val="24"/>
              </w:rPr>
              <w:t xml:space="preserve">Nuvve with University of Delaware and PJM; Nuvve with Nissan and Enel in Copenhagen</w:t>
            </w:r>
          </w:p>
        </w:tc>
      </w:tr>
      <w:tr>
        <w:tc>
          <w:tcPr>
            <w:tcW w:w="3008" w:type="dxa"/>
          </w:tcPr>
          <w:p>
            <w:r>
              <w:rPr>
                <w:rFonts w:ascii="Times New Roman" w:hAnsi="Times New Roman"/>
                <w:b w:val="0"/>
                <w:sz w:val="24"/>
              </w:rPr>
              <w:t xml:space="preserve">Utility dispatch signal</w:t>
            </w:r>
          </w:p>
        </w:tc>
        <w:tc>
          <w:tcPr>
            <w:tcW w:w="3008" w:type="dxa"/>
          </w:tcPr>
          <w:p>
            <w:r>
              <w:rPr>
                <w:rFonts w:ascii="Times New Roman" w:hAnsi="Times New Roman"/>
                <w:b w:val="0"/>
                <w:sz w:val="24"/>
              </w:rPr>
              <w:t xml:space="preserve">Call export during high-cost peak demand for compensation</w:t>
            </w:r>
          </w:p>
        </w:tc>
        <w:tc>
          <w:tcPr>
            <w:tcW w:w="3010" w:type="dxa"/>
          </w:tcPr>
          <w:p>
            <w:r>
              <w:rPr>
                <w:rFonts w:ascii="Times New Roman" w:hAnsi="Times New Roman"/>
                <w:b w:val="0"/>
                <w:sz w:val="24"/>
              </w:rPr>
              <w:t xml:space="preserve">National Grid 50-hour summer dispatch in Beverly; Con Edison peak-shaving with five buses in White Plains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6. Application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Depot peak shaving is operationally established as discharge of stored bus energy into the grid during periods of highest and most expensive demand to displace additional generation. The underlying function is documented as storage in bus batteries for later discharge to shave peak needs and alleviate the need to start up additional power sources, implemented through specialised bidirectional chargers that feed energy back during high-demand intervals such as the evening peak. Field validation was provided in Beverly, Massachusetts, where National Grid delivered power from one electric school bus back to the grid for more than 50 hours over the course of the summer in 2021 using vehicle-to-grid technology during peak demand times. Because discharge occurred when demand was at its highest and most expensive, the operation reduced local emissions and decreased the need to fire up costly fossil fuel peaker plants, confirming that parked fleets can deliver measurable peak relief without new central capacity.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Depots extend the same bidirectional capability to support renewable integration and local distribution stability through coordinated vehicle-to-grid and vehicle-to-building operation. Stored bus power is identified as a means to stabilise fluctuating energy conditions and enable greater renewable electricity generation, while vehicle-to-building applications increase the value of local generation by consuming all energy produced on site and avoiding photovoltaic curtailment, and mobile storage maximises consumption of local and sustainable power generation while conserving energy drawn from the grid. Deployment was demonstrated when Con Edison completed charging and discharging of a fleet of five school buses in partnership with White Plains School District, Lion, Nuvve and National Express, successfully transmitting energy from the buses back into the grid for direct distribution to customers. The result establishes that depot export is not only a peak product but a distributable resource that firms variable supply and keeps locally generated electricity in productive use.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Emergency shelter power constitutes a distinct depot application in which vehicle-to-building systems sustain occupied buildings and critical loads during outages caused by hurricanes, fires, floods and other emergencies. With proper planning and infrastructure, electric school buses can provide power to school buildings that are often used as shelters and to other equipment such as cell phones during power outages, a need underscored by projections that floods will affect more than 145 million people by 2030 and by evidence that outages can stop core community operations and expose vulnerable residents to disproportionate risk. Utility testing reflects this priority: programmes evaluating vehicle-to-grid or vehicle-to-building expressly include disaster response, and DTE Energy's five-year pilot will include tests of the ability to provide backup power to buildings during emergencies. The depot approach offers a structural advantage over conventional alternatives because regional fleets can be deployed to locations with the highest need, unlike stationary batteries, and because conventional backup generators do not always function during loss of grid power, particularly when poorly maintained, with high failure rates documented for emergency diesel units.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Current utility activity indicates that these three functions are converging into a combined depot operating model that delivers capacity, stability and emergency power during non-transport intervals. At least 26 utilities across 19 states have committed to pilot electric school bus vehicle-to-grid programmes based on storing electricity in bus batteries for later discharge, and Highland reports that buses are well suited to provide capacity, stability and emergency power when they are not providing student transportation, with vehicle-to-grid participation used to offset upfront vehicle cost. Exploration of vehicle-grid integration by SDG&amp;E illustrates the breadth of the model, encompassing reduction of electricity and operating cost by discharging back to the grid, potential sale of surplus electricity as revenue, powering businesses or homes during peak hours at lower rates, provision of backup power during outages or extreme weather events, and support for net-zero goals through innovative technologies. Together, this portfolio shows that peak shaving, renewable support and shelter power are not isolated demonstrations but complementary depot services that simultaneously lower system cost, retain local renewable value and strengthen community continuity.</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Depot V2G and V2B applications by operational function and grid benefit</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Application mode</w:t>
            </w:r>
          </w:p>
        </w:tc>
        <w:tc>
          <w:tcPr>
            <w:tcW w:w="3008" w:type="dxa"/>
          </w:tcPr>
          <w:p>
            <w:r>
              <w:rPr>
                <w:rFonts w:ascii="Times New Roman" w:hAnsi="Times New Roman"/>
                <w:b/>
                <w:sz w:val="24"/>
              </w:rPr>
              <w:t xml:space="preserve">Depot operation</w:t>
            </w:r>
          </w:p>
        </w:tc>
        <w:tc>
          <w:tcPr>
            <w:tcW w:w="3010" w:type="dxa"/>
          </w:tcPr>
          <w:p>
            <w:r>
              <w:rPr>
                <w:rFonts w:ascii="Times New Roman" w:hAnsi="Times New Roman"/>
                <w:b/>
                <w:sz w:val="24"/>
              </w:rPr>
              <w:t xml:space="preserve">System benefit</w:t>
            </w:r>
          </w:p>
        </w:tc>
      </w:tr>
      <w:tr>
        <w:tc>
          <w:tcPr>
            <w:tcW w:w="3008" w:type="dxa"/>
          </w:tcPr>
          <w:p>
            <w:r>
              <w:rPr>
                <w:rFonts w:ascii="Times New Roman" w:hAnsi="Times New Roman"/>
                <w:b w:val="0"/>
                <w:sz w:val="24"/>
              </w:rPr>
              <w:t xml:space="preserve">Peak shaving with V2G</w:t>
            </w:r>
          </w:p>
        </w:tc>
        <w:tc>
          <w:tcPr>
            <w:tcW w:w="3008" w:type="dxa"/>
          </w:tcPr>
          <w:p>
            <w:r>
              <w:rPr>
                <w:rFonts w:ascii="Times New Roman" w:hAnsi="Times New Roman"/>
                <w:b w:val="0"/>
                <w:sz w:val="24"/>
              </w:rPr>
              <w:t xml:space="preserve">Discharge during highest, most expensive demand periods</w:t>
            </w:r>
          </w:p>
        </w:tc>
        <w:tc>
          <w:tcPr>
            <w:tcW w:w="3010" w:type="dxa"/>
          </w:tcPr>
          <w:p>
            <w:r>
              <w:rPr>
                <w:rFonts w:ascii="Times New Roman" w:hAnsi="Times New Roman"/>
                <w:b w:val="0"/>
                <w:sz w:val="24"/>
              </w:rPr>
              <w:t xml:space="preserve">Avoids starting additional and fossil-fuel peaker generation</w:t>
            </w:r>
          </w:p>
        </w:tc>
      </w:tr>
      <w:tr>
        <w:tc>
          <w:tcPr>
            <w:tcW w:w="3008" w:type="dxa"/>
          </w:tcPr>
          <w:p>
            <w:r>
              <w:rPr>
                <w:rFonts w:ascii="Times New Roman" w:hAnsi="Times New Roman"/>
                <w:b w:val="0"/>
                <w:sz w:val="24"/>
              </w:rPr>
              <w:t xml:space="preserve">Renewable and distribution support</w:t>
            </w:r>
          </w:p>
        </w:tc>
        <w:tc>
          <w:tcPr>
            <w:tcW w:w="3008" w:type="dxa"/>
          </w:tcPr>
          <w:p>
            <w:r>
              <w:rPr>
                <w:rFonts w:ascii="Times New Roman" w:hAnsi="Times New Roman"/>
                <w:b w:val="0"/>
                <w:sz w:val="24"/>
              </w:rPr>
              <w:t xml:space="preserve">Stabilise fluctuations; consume on-site generation; avoid curtailment</w:t>
            </w:r>
          </w:p>
        </w:tc>
        <w:tc>
          <w:tcPr>
            <w:tcW w:w="3010" w:type="dxa"/>
          </w:tcPr>
          <w:p>
            <w:r>
              <w:rPr>
                <w:rFonts w:ascii="Times New Roman" w:hAnsi="Times New Roman"/>
                <w:b w:val="0"/>
                <w:sz w:val="24"/>
              </w:rPr>
              <w:t xml:space="preserve">Retains local sustainable generation and lowers grid draw</w:t>
            </w:r>
          </w:p>
        </w:tc>
      </w:tr>
      <w:tr>
        <w:tc>
          <w:tcPr>
            <w:tcW w:w="3008" w:type="dxa"/>
          </w:tcPr>
          <w:p>
            <w:r>
              <w:rPr>
                <w:rFonts w:ascii="Times New Roman" w:hAnsi="Times New Roman"/>
                <w:b w:val="0"/>
                <w:sz w:val="24"/>
              </w:rPr>
              <w:t xml:space="preserve">Emergency shelter power with V2B</w:t>
            </w:r>
          </w:p>
        </w:tc>
        <w:tc>
          <w:tcPr>
            <w:tcW w:w="3008" w:type="dxa"/>
          </w:tcPr>
          <w:p>
            <w:r>
              <w:rPr>
                <w:rFonts w:ascii="Times New Roman" w:hAnsi="Times New Roman"/>
                <w:b w:val="0"/>
                <w:sz w:val="24"/>
              </w:rPr>
              <w:t xml:space="preserve">Supply shelter buildings and devices during outages</w:t>
            </w:r>
          </w:p>
        </w:tc>
        <w:tc>
          <w:tcPr>
            <w:tcW w:w="3010" w:type="dxa"/>
          </w:tcPr>
          <w:p>
            <w:r>
              <w:rPr>
                <w:rFonts w:ascii="Times New Roman" w:hAnsi="Times New Roman"/>
                <w:b w:val="0"/>
                <w:sz w:val="24"/>
              </w:rPr>
              <w:t xml:space="preserve">Mobile backup deployable to highest-need locations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7. Depot Fleet Operations Without Service Loss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Service-first dispatch takes precedence over all grid activity to protect transport readiness. The V2G model employs the bidirectional battery only when it is not in use for its primary mission to participate in demand management as a demand-side resource. This ordering establishes a reserve principle in which route energy is excluded from market offers and only surplus availability is exposed to grid signals. The implication is operational clarity, because dispatch logic and depot staff share a single constraint that preserves scheduled service while defining the maximum envelope for grid contribution.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Availability is formalised as a contracted plugged-in commitment executed through an aggregator and system operator. The University of Delaware partnership with PJM demonstrates the mechanism, under which vehicles remain plugged in and available when called upon for grid support with Nuvve Corporation as aggregator, while the Copenhagen deployment enables the grid operator to charge or discharge the plugged-in vehicles on demand to stabilize the national grid. These cases show that maximizing grid availability depends on dependable readiness within agreed windows rather than continuous export. The consequence for depots is that managers can offer defined availability without surrendering control over service-critical periods.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Charging and export windows are scheduled around the energy needs of the fleet and the site and time-differentiated grid conditions. Bidirectional fleets planned on that basis can participate in demand response or time-of-use arbitrage, with charging shifted to lower-cost off-peak rates to decrease the cost of electricity and supply equipment curtailed during peak loads to reduce the burden on grid infrastructure. Participation extends to frequency regulation to provide short-term balancing of demand and supply and to broader efforts to aid in reducing brownouts during peak loads. For depots, the dividend is replenishment during off-peak intervals that restores service reserves at lowest cost, while agreed idle intervals become curtailable or dispatchable capacity without jeopardizing departure readiness.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Reserve adequacy is sustained through early and continuous coordination with the serving utility. Agencies are advised to communicate early and often to understand rate structure, demand response and incentives available, harmonizing increased electricity load with grid needs and availability, with installation requiring planning by both utility and fleet operator in advance. This joint planning aligns charger deployment, tariff selection and demand-management obligations with route energy requirements, allowing mobile storage to conserve the amount of energy that a site uses from the grid while retaining sufficient charge for service. The result is a procedural safeguard against service loss, because grid availability is expanded only to the extent that replenishment pathways and tariff windows have been jointly verified.</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Service-first dispatch windows linking fleet readiness to grid value</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Depot window</w:t>
            </w:r>
          </w:p>
        </w:tc>
        <w:tc>
          <w:tcPr>
            <w:tcW w:w="3008" w:type="dxa"/>
          </w:tcPr>
          <w:p>
            <w:r>
              <w:rPr>
                <w:rFonts w:ascii="Times New Roman" w:hAnsi="Times New Roman"/>
                <w:b/>
                <w:sz w:val="24"/>
              </w:rPr>
              <w:t xml:space="preserve">Dispatch rule</w:t>
            </w:r>
          </w:p>
        </w:tc>
        <w:tc>
          <w:tcPr>
            <w:tcW w:w="3010" w:type="dxa"/>
          </w:tcPr>
          <w:p>
            <w:r>
              <w:rPr>
                <w:rFonts w:ascii="Times New Roman" w:hAnsi="Times New Roman"/>
                <w:b/>
                <w:sz w:val="24"/>
              </w:rPr>
              <w:t xml:space="preserve">Grid contribution</w:t>
            </w:r>
          </w:p>
        </w:tc>
      </w:tr>
      <w:tr>
        <w:tc>
          <w:tcPr>
            <w:tcW w:w="3008" w:type="dxa"/>
          </w:tcPr>
          <w:p>
            <w:r>
              <w:rPr>
                <w:rFonts w:ascii="Times New Roman" w:hAnsi="Times New Roman"/>
                <w:b w:val="0"/>
                <w:sz w:val="24"/>
              </w:rPr>
              <w:t xml:space="preserve">Primary-mission exclusion</w:t>
            </w:r>
          </w:p>
        </w:tc>
        <w:tc>
          <w:tcPr>
            <w:tcW w:w="3008" w:type="dxa"/>
          </w:tcPr>
          <w:p>
            <w:r>
              <w:rPr>
                <w:rFonts w:ascii="Times New Roman" w:hAnsi="Times New Roman"/>
                <w:b w:val="0"/>
                <w:sz w:val="24"/>
              </w:rPr>
              <w:t xml:space="preserve">Withhold battery when needed for driving mission</w:t>
            </w:r>
          </w:p>
        </w:tc>
        <w:tc>
          <w:tcPr>
            <w:tcW w:w="3010" w:type="dxa"/>
          </w:tcPr>
          <w:p>
            <w:r>
              <w:rPr>
                <w:rFonts w:ascii="Times New Roman" w:hAnsi="Times New Roman"/>
                <w:b w:val="0"/>
                <w:sz w:val="24"/>
              </w:rPr>
              <w:t xml:space="preserve">Guarantees transport before grid participation</w:t>
            </w:r>
          </w:p>
        </w:tc>
      </w:tr>
      <w:tr>
        <w:tc>
          <w:tcPr>
            <w:tcW w:w="3008" w:type="dxa"/>
          </w:tcPr>
          <w:p>
            <w:r>
              <w:rPr>
                <w:rFonts w:ascii="Times New Roman" w:hAnsi="Times New Roman"/>
                <w:b w:val="0"/>
                <w:sz w:val="24"/>
              </w:rPr>
              <w:t xml:space="preserve">Plugged-in availability</w:t>
            </w:r>
          </w:p>
        </w:tc>
        <w:tc>
          <w:tcPr>
            <w:tcW w:w="3008" w:type="dxa"/>
          </w:tcPr>
          <w:p>
            <w:r>
              <w:rPr>
                <w:rFonts w:ascii="Times New Roman" w:hAnsi="Times New Roman"/>
                <w:b w:val="0"/>
                <w:sz w:val="24"/>
              </w:rPr>
              <w:t xml:space="preserve">Remain connected for operator call on demand</w:t>
            </w:r>
          </w:p>
        </w:tc>
        <w:tc>
          <w:tcPr>
            <w:tcW w:w="3010" w:type="dxa"/>
          </w:tcPr>
          <w:p>
            <w:r>
              <w:rPr>
                <w:rFonts w:ascii="Times New Roman" w:hAnsi="Times New Roman"/>
                <w:b w:val="0"/>
                <w:sz w:val="24"/>
              </w:rPr>
              <w:t xml:space="preserve">Enables short-term balancing and demand management</w:t>
            </w:r>
          </w:p>
        </w:tc>
      </w:tr>
      <w:tr>
        <w:tc>
          <w:tcPr>
            <w:tcW w:w="3008" w:type="dxa"/>
          </w:tcPr>
          <w:p>
            <w:r>
              <w:rPr>
                <w:rFonts w:ascii="Times New Roman" w:hAnsi="Times New Roman"/>
                <w:b w:val="0"/>
                <w:sz w:val="24"/>
              </w:rPr>
              <w:t xml:space="preserve">Peak-load curtailment</w:t>
            </w:r>
          </w:p>
        </w:tc>
        <w:tc>
          <w:tcPr>
            <w:tcW w:w="3008" w:type="dxa"/>
          </w:tcPr>
          <w:p>
            <w:r>
              <w:rPr>
                <w:rFonts w:ascii="Times New Roman" w:hAnsi="Times New Roman"/>
                <w:b w:val="0"/>
                <w:sz w:val="24"/>
              </w:rPr>
              <w:t xml:space="preserve">Curtail supply equipment during utility peak loads</w:t>
            </w:r>
          </w:p>
        </w:tc>
        <w:tc>
          <w:tcPr>
            <w:tcW w:w="3010" w:type="dxa"/>
          </w:tcPr>
          <w:p>
            <w:r>
              <w:rPr>
                <w:rFonts w:ascii="Times New Roman" w:hAnsi="Times New Roman"/>
                <w:b w:val="0"/>
                <w:sz w:val="24"/>
              </w:rPr>
              <w:t xml:space="preserve">Reduces burden on infrastructure and brownouts</w:t>
            </w:r>
          </w:p>
        </w:tc>
      </w:tr>
      <w:tr>
        <w:tc>
          <w:tcPr>
            <w:tcW w:w="3008" w:type="dxa"/>
          </w:tcPr>
          <w:p>
            <w:r>
              <w:rPr>
                <w:rFonts w:ascii="Times New Roman" w:hAnsi="Times New Roman"/>
                <w:b w:val="0"/>
                <w:sz w:val="24"/>
              </w:rPr>
              <w:t xml:space="preserve">Off-peak replenishment</w:t>
            </w:r>
          </w:p>
        </w:tc>
        <w:tc>
          <w:tcPr>
            <w:tcW w:w="3008" w:type="dxa"/>
          </w:tcPr>
          <w:p>
            <w:r>
              <w:rPr>
                <w:rFonts w:ascii="Times New Roman" w:hAnsi="Times New Roman"/>
                <w:b w:val="0"/>
                <w:sz w:val="24"/>
              </w:rPr>
              <w:t xml:space="preserve">Shift charging to lower-cost off-peak rates</w:t>
            </w:r>
          </w:p>
        </w:tc>
        <w:tc>
          <w:tcPr>
            <w:tcW w:w="3010" w:type="dxa"/>
          </w:tcPr>
          <w:p>
            <w:r>
              <w:rPr>
                <w:rFonts w:ascii="Times New Roman" w:hAnsi="Times New Roman"/>
                <w:b w:val="0"/>
                <w:sz w:val="24"/>
              </w:rPr>
              <w:t xml:space="preserve">Decreases electricity cost while restoring reserves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8. Depot Economics and Pilot Performance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Depot financial viability is governed primarily by tariff design rather than by traction efficiency alone. Programme analysis finds that electricity for buses typically costs less than diesel, yet outcomes diverge because rate structures vary widely across the United States. Charging during system peaks can incur elevated energy prices, while coincident depot load can trigger demand charges assessed on maximum consumption within an hour or, in some territories, a fifteen-minute interval, with significant cost increases if that peak rises. For this reason the review concludes that new rate structures may be needed both to electrify school transport and to support export, with pilots used to measure timing and volume of bus electricity use. The consequence is that off-peak scheduling is a precondition for a fundable depot, not a secondary optimisation.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Beverly record demonstrates that peak-period export can achieve repeated, commercially metered throughput. In summer 2021 National Grid returned power from one school bus to the network for more than fifty hours during peak demand, lessening reliance on costly fossil-fuel peaker plants in Beverly, Massachusetts. That demonstration was extended in a commercial programme orchestrated with Highland Electric Fleets at Beverly Public Schools in the summers of 2021-2024, in which three buses delivered 27.7 MWh over 316 hours. The progression from single-vehicle trial to multi-season operation indicates that summer idle capacity can be converted into dependable peak supply with linked emission and cost advantages.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White Plains confirms that a small fleet can provide coordinated peak-shaving with injections accepted into distribution supply. Between 2018 and September 2021 Con Edison tested charging and discharging of five school buses with White Plains School District, manufacturer Lion, infrastructure company Nuvve and contractor National Express. The utility successfully transmitted energy from the buses back into the grid for distribution directly to customers. For depot economics, the result validates multi-vehicle control and utility acceptance of bus energy as a peak-shaving resource, establishing the operational prerequisite for subsequent compensation arrangements.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Montgomery County tests whether that operational precedent remains economic at fleet scale, where tariff exposure and revenue terms become decisive. Pepco and Montgomery County Public Schools plan deployment and testing of 326 equipped buses over four years with Highland Electric Fleets, Lion Electric and Borg Warner, alongside a pilot launched in fall 2024 whose first discharge succeeded and whose further testing is expected to run twelve to fifteen months. At this scale, managed-charging software that schedules sessions when electricity is least expensive to avoid peak demand rates contains demand-charge risk, while V2G terms that provide compensation in exchange for energy sent back define income. The pilot focus on timing and volume therefore links rate reform directly to investment viability for large depots.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Comparison of three depot pilots informing tariff and revenue assumptions.</w:t>
      </w:r>
    </w:p>
    <w:tbl>
      <w:tblPr>
        <w:tblW w:type="auto" w:w="0"/>
        <w:tblLook w:val="04A0" w:firstRow="1" w:firstColumn="1" w:lastRow="0" w:lastColumn="0" w:noHBand="0" w:noVBand="1"/>
      </w:tblPr>
      <w:tblGrid>
        <w:gridCol w:w="2256"/>
        <w:gridCol w:w="2256"/>
        <w:gridCol w:w="2256"/>
        <w:gridCol w:w="2258"/>
      </w:tblGrid>
      <w:tr>
        <w:tc>
          <w:tcPr>
            <w:tcW w:w="2256" w:type="dxa"/>
          </w:tcPr>
          <w:p>
            <w:r>
              <w:rPr>
                <w:rFonts w:ascii="Times New Roman" w:hAnsi="Times New Roman"/>
                <w:b/>
                <w:sz w:val="24"/>
              </w:rPr>
              <w:t xml:space="preserve">Depot and utility</w:t>
            </w:r>
          </w:p>
        </w:tc>
        <w:tc>
          <w:tcPr>
            <w:tcW w:w="2256" w:type="dxa"/>
          </w:tcPr>
          <w:p>
            <w:r>
              <w:rPr>
                <w:rFonts w:ascii="Times New Roman" w:hAnsi="Times New Roman"/>
                <w:b/>
                <w:sz w:val="24"/>
              </w:rPr>
              <w:t xml:space="preserve">Fleet and duration</w:t>
            </w:r>
          </w:p>
        </w:tc>
        <w:tc>
          <w:tcPr>
            <w:tcW w:w="2256" w:type="dxa"/>
          </w:tcPr>
          <w:p>
            <w:r>
              <w:rPr>
                <w:rFonts w:ascii="Times New Roman" w:hAnsi="Times New Roman"/>
                <w:b/>
                <w:sz w:val="24"/>
              </w:rPr>
              <w:t xml:space="preserve">Demonstrated grid service</w:t>
            </w:r>
          </w:p>
        </w:tc>
        <w:tc>
          <w:tcPr>
            <w:tcW w:w="2258" w:type="dxa"/>
          </w:tcPr>
          <w:p>
            <w:r>
              <w:rPr>
                <w:rFonts w:ascii="Times New Roman" w:hAnsi="Times New Roman"/>
                <w:b/>
                <w:sz w:val="24"/>
              </w:rPr>
              <w:t xml:space="preserve">Viability lesson</w:t>
            </w:r>
          </w:p>
        </w:tc>
      </w:tr>
      <w:tr>
        <w:tc>
          <w:tcPr>
            <w:tcW w:w="2256" w:type="dxa"/>
          </w:tcPr>
          <w:p>
            <w:r>
              <w:rPr>
                <w:rFonts w:ascii="Times New Roman" w:hAnsi="Times New Roman"/>
                <w:b w:val="0"/>
                <w:sz w:val="24"/>
              </w:rPr>
              <w:t xml:space="preserve">Beverly Public Schools with National Grid</w:t>
            </w:r>
          </w:p>
        </w:tc>
        <w:tc>
          <w:tcPr>
            <w:tcW w:w="2256" w:type="dxa"/>
          </w:tcPr>
          <w:p>
            <w:r>
              <w:rPr>
                <w:rFonts w:ascii="Times New Roman" w:hAnsi="Times New Roman"/>
                <w:b w:val="0"/>
                <w:sz w:val="24"/>
              </w:rPr>
              <w:t xml:space="preserve">1 bus over 50 hours in summer 2021; 3 buses, 27.7 MWh over 316 hours in 2021-2024</w:t>
            </w:r>
          </w:p>
        </w:tc>
        <w:tc>
          <w:tcPr>
            <w:tcW w:w="2256" w:type="dxa"/>
          </w:tcPr>
          <w:p>
            <w:r>
              <w:rPr>
                <w:rFonts w:ascii="Times New Roman" w:hAnsi="Times New Roman"/>
                <w:b w:val="0"/>
                <w:sz w:val="24"/>
              </w:rPr>
              <w:t xml:space="preserve">Peak-period export displacing peaker operation</w:t>
            </w:r>
          </w:p>
        </w:tc>
        <w:tc>
          <w:tcPr>
            <w:tcW w:w="2258" w:type="dxa"/>
          </w:tcPr>
          <w:p>
            <w:r>
              <w:rPr>
                <w:rFonts w:ascii="Times New Roman" w:hAnsi="Times New Roman"/>
                <w:b w:val="0"/>
                <w:sz w:val="24"/>
              </w:rPr>
              <w:t xml:space="preserve">Seasonal idle capacity yields repeatable export volumes</w:t>
            </w:r>
          </w:p>
        </w:tc>
      </w:tr>
      <w:tr>
        <w:tc>
          <w:tcPr>
            <w:tcW w:w="2256" w:type="dxa"/>
          </w:tcPr>
          <w:p>
            <w:r>
              <w:rPr>
                <w:rFonts w:ascii="Times New Roman" w:hAnsi="Times New Roman"/>
                <w:b w:val="0"/>
                <w:sz w:val="24"/>
              </w:rPr>
              <w:t xml:space="preserve">White Plains District with Con Edison</w:t>
            </w:r>
          </w:p>
        </w:tc>
        <w:tc>
          <w:tcPr>
            <w:tcW w:w="2256" w:type="dxa"/>
          </w:tcPr>
          <w:p>
            <w:r>
              <w:rPr>
                <w:rFonts w:ascii="Times New Roman" w:hAnsi="Times New Roman"/>
                <w:b w:val="0"/>
                <w:sz w:val="24"/>
              </w:rPr>
              <w:t xml:space="preserve">5 buses, 2018 to September 2021 with Lion, Nuvve and National Express</w:t>
            </w:r>
          </w:p>
        </w:tc>
        <w:tc>
          <w:tcPr>
            <w:tcW w:w="2256" w:type="dxa"/>
          </w:tcPr>
          <w:p>
            <w:r>
              <w:rPr>
                <w:rFonts w:ascii="Times New Roman" w:hAnsi="Times New Roman"/>
                <w:b w:val="0"/>
                <w:sz w:val="24"/>
              </w:rPr>
              <w:t xml:space="preserve">Peak-shaving with energy distributed to customers</w:t>
            </w:r>
          </w:p>
        </w:tc>
        <w:tc>
          <w:tcPr>
            <w:tcW w:w="2258" w:type="dxa"/>
          </w:tcPr>
          <w:p>
            <w:r>
              <w:rPr>
                <w:rFonts w:ascii="Times New Roman" w:hAnsi="Times New Roman"/>
                <w:b w:val="0"/>
                <w:sz w:val="24"/>
              </w:rPr>
              <w:t xml:space="preserve">Multi-bus coordination validates utility-accepted injection</w:t>
            </w:r>
          </w:p>
        </w:tc>
      </w:tr>
      <w:tr>
        <w:tc>
          <w:tcPr>
            <w:tcW w:w="2256" w:type="dxa"/>
          </w:tcPr>
          <w:p>
            <w:r>
              <w:rPr>
                <w:rFonts w:ascii="Times New Roman" w:hAnsi="Times New Roman"/>
                <w:b w:val="0"/>
                <w:sz w:val="24"/>
              </w:rPr>
              <w:t xml:space="preserve">Montgomery County Public Schools with Pepco</w:t>
            </w:r>
          </w:p>
        </w:tc>
        <w:tc>
          <w:tcPr>
            <w:tcW w:w="2256" w:type="dxa"/>
          </w:tcPr>
          <w:p>
            <w:r>
              <w:rPr>
                <w:rFonts w:ascii="Times New Roman" w:hAnsi="Times New Roman"/>
                <w:b w:val="0"/>
                <w:sz w:val="24"/>
              </w:rPr>
              <w:t xml:space="preserve">326 buses over 4 years; fall 2024 pilot for 12-15 months</w:t>
            </w:r>
          </w:p>
        </w:tc>
        <w:tc>
          <w:tcPr>
            <w:tcW w:w="2256" w:type="dxa"/>
          </w:tcPr>
          <w:p>
            <w:r>
              <w:rPr>
                <w:rFonts w:ascii="Times New Roman" w:hAnsi="Times New Roman"/>
                <w:b w:val="0"/>
                <w:sz w:val="24"/>
              </w:rPr>
              <w:t xml:space="preserve">Initial discharge success with further testing in progress</w:t>
            </w:r>
          </w:p>
        </w:tc>
        <w:tc>
          <w:tcPr>
            <w:tcW w:w="2258" w:type="dxa"/>
          </w:tcPr>
          <w:p>
            <w:r>
              <w:rPr>
                <w:rFonts w:ascii="Times New Roman" w:hAnsi="Times New Roman"/>
                <w:b w:val="0"/>
                <w:sz w:val="24"/>
              </w:rPr>
              <w:t xml:space="preserve">Scale requires off-peak scheduling and export compensation</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9. Future Scope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National scale-up depends first on resolving outstanding interoperability and certification gaps that currently constrain replicability. Progress on bidirectional charger approval has been slow because most governments have not certified equipment for grid export due to compliance and regulatory issues, and vehicle-to-grid requirements remain complex as they govern power, safety and electrical behaviour during discharge. In North America the pathway centres on UL 9741 as the proposed equipment standard built around UL 1741 and IEEE 1547 for interconnection of distributed resources, together with ISO 15118-20 for the vehicle-to-charger communication interface between the vehicle and supply equipment. Recent experience in Australia and New Zealand, where revised AS 4777.1 was published in Q3 2024 and a revised AS 4777.2 is anticipated with regulatory approval of grid-connected bidirectional operation envisaged by year-end, demonstrates that such pathways can be completed. Finalising and harmonising these provisions is therefore the precondition for moving from isolated demonstrations to standardised depot procurements.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Future tariff design must evolve alongside hardware if depot export is to remain financially rational at scale. Electricity for buses typically costs less than diesel, yet programme outcomes diverge because electricity rate designs vary widely across the United States and determine when charging or discharging is economic. Districts can incur higher costs for consumption during peak periods and can incur significant increases where demand charges are assessed on overall usage during a specific hour or, in some cases, a 15-minute interval within a month. For this reason new rate structures may be needed to support both electrification and vehicle-to-grid operation, with pilot programmes used to characterise the timing and volume of bus electricity use and to inform structures that reward off-peak charging and compensated export. Without such reform, demand-related penalties will continue to suppress participation even where technical capability exists.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Expansion must be deliberately equity-led and jointly delivered rather than left to fragmented utility-by-utility experimentation. Stakeholder analysis stresses that utilities, manufacturers, policymakers and other parties should work together to deploy buses nationwide while prioritising underserved communities, while noting that further research is still required on viability, benefits, challenges, potential storage revenues for planning upfront and operating costs, and on the technology definitions and training required for vehicle-to-grid use. The World Resources Institute Electric School Bus Initiative, which seeks an equitable transition of the United States fleet by 2030 and convenes a utility working group on integration, financing, rate-design practice and equity indicators, provides one coordination mechanism. The fall 2024 selection of Highland's Scaling Vehicle-to-Grid Integration Nationally project for approximately $10.9 million under the Grid Resilience and Innovation Partnerships Program, bringing together Highland with 12 utility providers and other partners to implement 14 pilot projects nationwide, illustrates the collaborative model in which utilities, software providers, manufacturers and fleet operators jointly optimise deployments for community and system value.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Depot infrastructure should in future be conceived as mobilisable community resilience hubs integrated with buildings and distributed resources. A bidirectional vehicle can receive energy from supply equipment and deliver energy to an external load when paired with similarly capable supply equipment, enabling vehicle-to-building supply within microgrids and vehicle-to-grid supply that can complement photovoltaic arrays and other distributed resources or supplement diesel generators. Unlike stationary storage that must remain at a chosen site, mobile storage can be positioned before a planned outage or redeployed shortly after an unexpected outage to supplement local generation or serve as emergency reserve, with regional fleets directed to locations of greatest need and thereby offering an advantage over fixed batteries. Such operation can reduce grid consumption, support carbon objectives by increasing use of local sustainable generation, and decarbonise emergency supply, while planning can exploit equipment already present such as inverters associated with solar or transfer switches associated with generators. Realising this role requires early and sustained coordination with the serving utility to align added load with grid needs, demand-response opportunities and incentives, and to schedule installation without disrupting fleet timelines.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Scaling pathways from present pilot constraints to nationwide depot vehicle-to-grid adoption.</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Scaling Domain</w:t>
            </w:r>
          </w:p>
        </w:tc>
        <w:tc>
          <w:tcPr>
            <w:tcW w:w="3008" w:type="dxa"/>
          </w:tcPr>
          <w:p>
            <w:r>
              <w:rPr>
                <w:rFonts w:ascii="Times New Roman" w:hAnsi="Times New Roman"/>
                <w:b/>
                <w:sz w:val="24"/>
              </w:rPr>
              <w:t xml:space="preserve">Present Constraint</w:t>
            </w:r>
          </w:p>
        </w:tc>
        <w:tc>
          <w:tcPr>
            <w:tcW w:w="3010" w:type="dxa"/>
          </w:tcPr>
          <w:p>
            <w:r>
              <w:rPr>
                <w:rFonts w:ascii="Times New Roman" w:hAnsi="Times New Roman"/>
                <w:b/>
                <w:sz w:val="24"/>
              </w:rPr>
              <w:t xml:space="preserve">Forward Requirement</w:t>
            </w:r>
          </w:p>
        </w:tc>
      </w:tr>
      <w:tr>
        <w:tc>
          <w:tcPr>
            <w:tcW w:w="3008" w:type="dxa"/>
          </w:tcPr>
          <w:p>
            <w:r>
              <w:rPr>
                <w:rFonts w:ascii="Times New Roman" w:hAnsi="Times New Roman"/>
                <w:b w:val="0"/>
                <w:sz w:val="24"/>
              </w:rPr>
              <w:t xml:space="preserve">Interoperability and Certification</w:t>
            </w:r>
          </w:p>
        </w:tc>
        <w:tc>
          <w:tcPr>
            <w:tcW w:w="3008" w:type="dxa"/>
          </w:tcPr>
          <w:p>
            <w:r>
              <w:rPr>
                <w:rFonts w:ascii="Times New Roman" w:hAnsi="Times New Roman"/>
                <w:b w:val="0"/>
                <w:sz w:val="24"/>
              </w:rPr>
              <w:t xml:space="preserve">Slow certification; complex power, safety and interconnection rules for export</w:t>
            </w:r>
          </w:p>
        </w:tc>
        <w:tc>
          <w:tcPr>
            <w:tcW w:w="3010" w:type="dxa"/>
          </w:tcPr>
          <w:p>
            <w:r>
              <w:rPr>
                <w:rFonts w:ascii="Times New Roman" w:hAnsi="Times New Roman"/>
                <w:b w:val="0"/>
                <w:sz w:val="24"/>
              </w:rPr>
              <w:t xml:space="preserve">Finalise UL 9741 with IEEE 1547 alignment and implement ISO 15118-20 messaging</w:t>
            </w:r>
          </w:p>
        </w:tc>
      </w:tr>
      <w:tr>
        <w:tc>
          <w:tcPr>
            <w:tcW w:w="3008" w:type="dxa"/>
          </w:tcPr>
          <w:p>
            <w:r>
              <w:rPr>
                <w:rFonts w:ascii="Times New Roman" w:hAnsi="Times New Roman"/>
                <w:b w:val="0"/>
                <w:sz w:val="24"/>
              </w:rPr>
              <w:t xml:space="preserve">Tariff and Market Design</w:t>
            </w:r>
          </w:p>
        </w:tc>
        <w:tc>
          <w:tcPr>
            <w:tcW w:w="3008" w:type="dxa"/>
          </w:tcPr>
          <w:p>
            <w:r>
              <w:rPr>
                <w:rFonts w:ascii="Times New Roman" w:hAnsi="Times New Roman"/>
                <w:b w:val="0"/>
                <w:sz w:val="24"/>
              </w:rPr>
              <w:t xml:space="preserve">Wide US rate variation; peak energy and hourly or 15-minute demand charges</w:t>
            </w:r>
          </w:p>
        </w:tc>
        <w:tc>
          <w:tcPr>
            <w:tcW w:w="3010" w:type="dxa"/>
          </w:tcPr>
          <w:p>
            <w:r>
              <w:rPr>
                <w:rFonts w:ascii="Times New Roman" w:hAnsi="Times New Roman"/>
                <w:b w:val="0"/>
                <w:sz w:val="24"/>
              </w:rPr>
              <w:t xml:space="preserve">New V2G-capable rates informed by pilot data on timing and volume of use</w:t>
            </w:r>
          </w:p>
        </w:tc>
      </w:tr>
      <w:tr>
        <w:tc>
          <w:tcPr>
            <w:tcW w:w="3008" w:type="dxa"/>
          </w:tcPr>
          <w:p>
            <w:r>
              <w:rPr>
                <w:rFonts w:ascii="Times New Roman" w:hAnsi="Times New Roman"/>
                <w:b w:val="0"/>
                <w:sz w:val="24"/>
              </w:rPr>
              <w:t xml:space="preserve">Equitable Deployment and Collaboration</w:t>
            </w:r>
          </w:p>
        </w:tc>
        <w:tc>
          <w:tcPr>
            <w:tcW w:w="3008" w:type="dxa"/>
          </w:tcPr>
          <w:p>
            <w:r>
              <w:rPr>
                <w:rFonts w:ascii="Times New Roman" w:hAnsi="Times New Roman"/>
                <w:b w:val="0"/>
                <w:sz w:val="24"/>
              </w:rPr>
              <w:t xml:space="preserve">Uneven access; uncertain revenues, technology definitions and training needs</w:t>
            </w:r>
          </w:p>
        </w:tc>
        <w:tc>
          <w:tcPr>
            <w:tcW w:w="3010" w:type="dxa"/>
          </w:tcPr>
          <w:p>
            <w:r>
              <w:rPr>
                <w:rFonts w:ascii="Times New Roman" w:hAnsi="Times New Roman"/>
                <w:b w:val="0"/>
                <w:sz w:val="24"/>
              </w:rPr>
              <w:t xml:space="preserve">Utility, OEM and operator partnerships prioritising underserved communities</w:t>
            </w:r>
          </w:p>
        </w:tc>
      </w:tr>
      <w:tr>
        <w:tc>
          <w:tcPr>
            <w:tcW w:w="3008" w:type="dxa"/>
          </w:tcPr>
          <w:p>
            <w:r>
              <w:rPr>
                <w:rFonts w:ascii="Times New Roman" w:hAnsi="Times New Roman"/>
                <w:b w:val="0"/>
                <w:sz w:val="24"/>
              </w:rPr>
              <w:t xml:space="preserve">Resilience Hub Integration</w:t>
            </w:r>
          </w:p>
        </w:tc>
        <w:tc>
          <w:tcPr>
            <w:tcW w:w="3008" w:type="dxa"/>
          </w:tcPr>
          <w:p>
            <w:r>
              <w:rPr>
                <w:rFonts w:ascii="Times New Roman" w:hAnsi="Times New Roman"/>
                <w:b w:val="0"/>
                <w:sz w:val="24"/>
              </w:rPr>
              <w:t xml:space="preserve">Diesel-dependent backup; stationary storage cannot be repositioned</w:t>
            </w:r>
          </w:p>
        </w:tc>
        <w:tc>
          <w:tcPr>
            <w:tcW w:w="3010" w:type="dxa"/>
          </w:tcPr>
          <w:p>
            <w:r>
              <w:rPr>
                <w:rFonts w:ascii="Times New Roman" w:hAnsi="Times New Roman"/>
                <w:b w:val="0"/>
                <w:sz w:val="24"/>
              </w:rPr>
              <w:t xml:space="preserve">Pair V2B and V2G with PV, microgrids and existing inverters and transfer switches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10. Conclusion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Reliable depot participation is secured when transport duty constrains every grid action through layered supervision. Managed charging software governs stations and vehicles to schedule automated sessions around operational convenience and periods of lower expense, thereby avoiding coincident peaks, while bidirectional hardware permits stored energy to flow outward to a building or to the network under that same supervisory discipline. Because export can attract compensation and building supply can offset premises bills and sustain supply during interruptions, the control hierarchy preserves morning readiness while offering a countable resource. The consequence is that system operators can treat parked fleets as dependable rather than opportunistic capacity.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Operational credibility is further established by demonstrated emergency functions that exceed routine peak management. With planning and supporting infrastructure, buses can energize school facilities commonly designated as shelters and maintain essential small loads such as mobile telephones when outages interrupt community activity. Utilities are presently examining vehicle-to-grid and vehicle-to-building operation for such contingencies, exemplified by DTE Energy's five-year school bus programme to trial building backup, against a background in which floods are projected to affect more than 145 million people by 2030 and failures of interdependent systems disproportionately endanger vulnerable residents. The implication is that investment in depot interconnection purchases life-saving continuity, not merely kilowatt-hours.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Fundability depends on resolving tariff exposure rather than on traction savings alone. Electricity for buses generally costs substantially less than diesel, yet rate architectures differ markedly across the United States and dictate charging and discharging logic, with elevated peak-period energy prices and demand assessments based on maximum use within an hour or even a fifteen-minute interval capable of producing pronounced cost escalation. New structures are therefore contemplated, informed by pilots that quantify timing and volume of bus consumption, alongside strategies under active utility consideration to lower operating expense through reverse flow, to create supplementary income from surplus sales, and to serve commercial and residential loads at reduced rates during expensive intervals. Since clearer expectations of storage income allow districts and utilities to plan acquisition and operating outlays, tariff reform converts technical potential into a financeable proposition.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Durability at scale rests on coordinated research, training, and equity-centred deployment that de-risk investment. Joint effort among utilities, manufacturers, policymakers and other parties, with deliberate priority for underserved communities, is identified as the present requirement, accompanied by further inquiry into viability, benefits and challenges, precise specification of equipment and instruction, and improved understanding of storage revenues for capital planning. The Electric School Bus Initiative's objective of an equitable national fleet conversion by 2030 and its utility working group on integration, financing, rate-design practice and equity metrics institutionalise that agenda, while selection of Highland's Scaling Vehicle-to-Grid Integration Nationally project for approximately 10.9 million dollars under the Grid Resilience and Innovation Partnerships Program to deliver fourteen pilots with twelve utility partners demonstrates public capital commitment. Together, disciplined control, shelter-grade operation, corrected economics and collaborative delivery warrant classification of depots as reliable, fundable grid assets.</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11. References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 World Resources Institute. (2025). Three Design Considerations for Electric School Bus Vehicle-to-Grid Programs. WRI Electric School Bus Initiative.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2. Highland Electric Fleets. (2024). Why Partner with Highland for V2G Implementation: Beverly, South Burlington and Montgomery County Pilots. Highland Electric Fleets.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3. National Grid and Con Edison. (2021). Beverly and White Plains Electric School Bus V2G Peak-Shaving Pilots. Reported in WRI Electric School Bus Initiative.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4. San Diego Gas and Electric. (2024). Vehicle Grid Integration: Managed Charging, Vehicle to Building and Vehicle to Grid. SDGE Clean Transportation.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5. U.S. Department of Energy Federal Energy Management Program. (2022). Bidirectional Electric Vehicles Employed as Mobile Battery Storage for Resilience and Demand Response. U.S. DOE FEMP.</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6. Clean Energy Reviews. (2025). Bidirectional EV Chargers Review - V2G and V2H. Clean Energy Reviews.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7. Underwriters Laboratories. (2023). UL 9741 Bidirectional Electric Vehicle Charging System Equipment with UL 1741 and IEEE 1547 Interconnection. UL Standards.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8. International Organization for Standardization. (2022). ISO 15118-20 Vehicle-to-Grid Communication Interface Between EV and EVSE. ISO.</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9. U.S. Department of Energy Grid Deployment Office. (2024). Scaling Vehicle-to-Grid Integration Nationally (SVIN) under the Grid Resilience and Innovation Partnerships Program. U.S. DOE.</w:t>
      </w:r>
    </w:p>
    <w:sectPr w:rsidR="0024737E">
      <w:headerReference w:type="even" r:id="rId7"/>
      <w:headerReference w:type="default" r:id="rId8"/>
      <w:footerReference w:type="default" r:id="rId9"/>
      <w:headerReference w:type="firs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0B80" w14:textId="77777777" w:rsidR="00C0163D" w:rsidRDefault="00C0163D">
      <w:pPr>
        <w:spacing w:after="0" w:line="240" w:lineRule="auto"/>
      </w:pPr>
      <w:r>
        <w:separator/>
      </w:r>
    </w:p>
  </w:endnote>
  <w:endnote w:type="continuationSeparator" w:id="0">
    <w:p w14:paraId="34E91128" w14:textId="77777777" w:rsidR="00C0163D" w:rsidRDefault="00C01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491" w14:textId="77777777" w:rsidR="0024737E" w:rsidRDefault="00C0163D">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42E45DCD" w14:textId="77777777" w:rsidR="0024737E" w:rsidRDefault="0024737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72C3" w14:textId="77777777" w:rsidR="00C0163D" w:rsidRDefault="00C0163D">
      <w:pPr>
        <w:spacing w:after="0" w:line="240" w:lineRule="auto"/>
      </w:pPr>
      <w:r>
        <w:separator/>
      </w:r>
    </w:p>
  </w:footnote>
  <w:footnote w:type="continuationSeparator" w:id="0">
    <w:p w14:paraId="6AED0DCB" w14:textId="77777777" w:rsidR="00C0163D" w:rsidRDefault="00C01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7E"/>
    <w:rsid w:val="0024737E"/>
    <w:rsid w:val="006B04B1"/>
    <w:rsid w:val="00C0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1B5BF35"/>
  <w15:docId w15:val="{BD96ADA3-9EA0-F64A-BC9C-02C81E4B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63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263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4F"/>
    <w:rPr>
      <w:rFonts w:eastAsiaTheme="majorEastAsia" w:cstheme="majorBidi"/>
      <w:color w:val="272727" w:themeColor="text1" w:themeTint="D8"/>
    </w:rPr>
  </w:style>
  <w:style w:type="character" w:customStyle="1" w:styleId="TitleChar">
    <w:name w:val="Title Char"/>
    <w:basedOn w:val="DefaultParagraphFont"/>
    <w:link w:val="Title"/>
    <w:uiPriority w:val="10"/>
    <w:rsid w:val="00263D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6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4F"/>
    <w:pPr>
      <w:spacing w:before="160"/>
      <w:jc w:val="center"/>
    </w:pPr>
    <w:rPr>
      <w:i/>
      <w:iCs/>
      <w:color w:val="404040" w:themeColor="text1" w:themeTint="BF"/>
    </w:rPr>
  </w:style>
  <w:style w:type="character" w:customStyle="1" w:styleId="QuoteChar">
    <w:name w:val="Quote Char"/>
    <w:basedOn w:val="DefaultParagraphFont"/>
    <w:link w:val="Quote"/>
    <w:uiPriority w:val="29"/>
    <w:rsid w:val="00263D4F"/>
    <w:rPr>
      <w:i/>
      <w:iCs/>
      <w:color w:val="404040" w:themeColor="text1" w:themeTint="BF"/>
    </w:rPr>
  </w:style>
  <w:style w:type="paragraph" w:styleId="ListParagraph">
    <w:name w:val="List Paragraph"/>
    <w:basedOn w:val="Normal"/>
    <w:uiPriority w:val="34"/>
    <w:qFormat/>
    <w:rsid w:val="00263D4F"/>
    <w:pPr>
      <w:ind w:left="720"/>
      <w:contextualSpacing/>
    </w:pPr>
  </w:style>
  <w:style w:type="character" w:styleId="IntenseEmphasis">
    <w:name w:val="Intense Emphasis"/>
    <w:basedOn w:val="DefaultParagraphFont"/>
    <w:uiPriority w:val="21"/>
    <w:qFormat/>
    <w:rsid w:val="00263D4F"/>
    <w:rPr>
      <w:i/>
      <w:iCs/>
      <w:color w:val="2F5496" w:themeColor="accent1" w:themeShade="BF"/>
    </w:rPr>
  </w:style>
  <w:style w:type="paragraph" w:styleId="IntenseQuote">
    <w:name w:val="Intense Quote"/>
    <w:basedOn w:val="Normal"/>
    <w:next w:val="Normal"/>
    <w:link w:val="IntenseQuoteChar"/>
    <w:uiPriority w:val="30"/>
    <w:qFormat/>
    <w:rsid w:val="00263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D4F"/>
    <w:rPr>
      <w:i/>
      <w:iCs/>
      <w:color w:val="2F5496" w:themeColor="accent1" w:themeShade="BF"/>
    </w:rPr>
  </w:style>
  <w:style w:type="character" w:styleId="IntenseReference">
    <w:name w:val="Intense Reference"/>
    <w:basedOn w:val="DefaultParagraphFont"/>
    <w:uiPriority w:val="32"/>
    <w:qFormat/>
    <w:rsid w:val="00263D4F"/>
    <w:rPr>
      <w:b/>
      <w:bCs/>
      <w:smallCaps/>
      <w:color w:val="2F5496" w:themeColor="accent1" w:themeShade="BF"/>
      <w:spacing w:val="5"/>
    </w:rPr>
  </w:style>
  <w:style w:type="paragraph" w:styleId="Header">
    <w:name w:val="header"/>
    <w:basedOn w:val="Normal"/>
    <w:link w:val="HeaderChar"/>
    <w:uiPriority w:val="99"/>
    <w:unhideWhenUsed/>
    <w:rsid w:val="00263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D4F"/>
  </w:style>
  <w:style w:type="paragraph" w:styleId="Footer">
    <w:name w:val="footer"/>
    <w:basedOn w:val="Normal"/>
    <w:link w:val="FooterChar"/>
    <w:uiPriority w:val="99"/>
    <w:unhideWhenUsed/>
    <w:rsid w:val="00263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D4F"/>
  </w:style>
  <w:style w:type="table" w:styleId="PlainTable1">
    <w:name w:val="Plain Table 1"/>
    <w:basedOn w:val="TableNormal"/>
    <w:uiPriority w:val="41"/>
    <w:rsid w:val="00263D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E2tFfyS4vl73pY61twnH2jfQ==">CgMxLjA4AHIhMXJOeW1OVWhCUDRfd3V3bXJFdWVfVFVjSUkzRV9SdGlH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Sonar</dc:creator>
  <cp:lastModifiedBy>Raunak Singh</cp:lastModifiedBy>
  <cp:revision>2</cp:revision>
  <dcterms:created xsi:type="dcterms:W3CDTF">2026-08-09T05:51:00Z</dcterms:created>
  <dcterms:modified xsi:type="dcterms:W3CDTF">2026-08-09T05:51:00Z</dcterms:modified>
</cp:coreProperties>
</file>