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bằng công cụ Emgu,OpenCV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350C2C">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350C2C">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350C2C">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350C2C">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 nghiên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1.</w:t>
      </w:r>
      <w:r w:rsidR="007C5A43">
        <w:rPr>
          <w:rFonts w:ascii="Times New Roman" w:hAnsi="Times New Roman"/>
          <w:sz w:val="18"/>
          <w:szCs w:val="18"/>
          <w:lang w:val="en-US"/>
        </w:rPr>
        <w:t xml:space="preserve">Dò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w:t>
      </w:r>
      <w:r w:rsidRPr="00881E23">
        <w:rPr>
          <w:spacing w:val="3"/>
          <w:szCs w:val="28"/>
        </w:rPr>
        <w:t xml:space="preserve"> </w:t>
      </w:r>
      <w:r w:rsidRPr="00881E23">
        <w:rPr>
          <w:spacing w:val="3"/>
          <w:szCs w:val="28"/>
        </w:rPr>
        <w:t>nó biểu diễn mối liên hệ giữa các bộ phận của đối tượng), điều mà bản thân từng điểm</w:t>
      </w:r>
      <w:r w:rsidRPr="00881E23">
        <w:rPr>
          <w:spacing w:val="3"/>
          <w:szCs w:val="28"/>
        </w:rPr>
        <w:t xml:space="preserve"> </w:t>
      </w:r>
      <w:r w:rsidRPr="00881E23">
        <w:rPr>
          <w:spacing w:val="3"/>
          <w:szCs w:val="28"/>
        </w:rPr>
        <w:t>ảnh không diễn đạt được – dựa trên việc co giãn của khung cửa sổ tìm kiếm. Để tính giá</w:t>
      </w:r>
      <w:r w:rsidRPr="00881E23">
        <w:rPr>
          <w:spacing w:val="3"/>
          <w:szCs w:val="28"/>
        </w:rPr>
        <w:t xml:space="preserve"> </w:t>
      </w:r>
      <w:r w:rsidRPr="00881E23">
        <w:rPr>
          <w:spacing w:val="3"/>
          <w:szCs w:val="28"/>
        </w:rPr>
        <w:t>trị các đặc trưng Haar-Like, ta tính sự chênh lệch giữa tổng của các pixel của các vùng</w:t>
      </w:r>
      <w:r w:rsidRPr="00881E23">
        <w:rPr>
          <w:spacing w:val="3"/>
          <w:szCs w:val="28"/>
        </w:rPr>
        <w:t xml:space="preserve"> </w:t>
      </w:r>
      <w:r w:rsidRPr="00881E23">
        <w:rPr>
          <w:spacing w:val="3"/>
          <w:szCs w:val="28"/>
        </w:rPr>
        <w:t>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Hình 5</w:t>
      </w:r>
      <w:r w:rsidR="006E72D3">
        <w:rPr>
          <w:color w:val="000000"/>
          <w:sz w:val="18"/>
          <w:szCs w:val="18"/>
        </w:rPr>
        <w:t>.</w:t>
      </w:r>
      <w:r w:rsidR="005C082E" w:rsidRPr="006E72D3">
        <w:rPr>
          <w:color w:val="000000"/>
          <w:sz w:val="18"/>
          <w:szCs w:val="18"/>
        </w:rPr>
        <w:t>Tính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(x4,y4)-(x2,y2)-(x3,y3)+(x1,y1)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sz w:val="28"/>
          <w:szCs w:val="28"/>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7</w:t>
      </w:r>
      <w:r w:rsidR="002D34DA">
        <w:rPr>
          <w:rFonts w:ascii="Times New Roman" w:hAnsi="Times New Roman"/>
          <w:sz w:val="18"/>
          <w:szCs w:val="18"/>
          <w:lang w:val="en-US"/>
        </w:rPr>
        <w:t>.</w:t>
      </w:r>
      <w:r w:rsidR="0081706B" w:rsidRPr="0016365E">
        <w:rPr>
          <w:rFonts w:ascii="Times New Roman" w:hAnsi="Times New Roman"/>
          <w:sz w:val="18"/>
          <w:szCs w:val="18"/>
          <w:lang w:val="en-US"/>
        </w:rPr>
        <w:t>Bộ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sz w:val="28"/>
          <w:szCs w:val="28"/>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sz w:val="28"/>
          <w:szCs w:val="28"/>
          <w:lang w:val="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w:t>
      </w:r>
      <w:bookmarkStart w:id="0" w:name="_GoBack"/>
      <w:bookmarkEnd w:id="0"/>
      <w:r>
        <w:rPr>
          <w:sz w:val="18"/>
          <w:szCs w:val="18"/>
        </w:rPr>
        <w:t>Hình 10. Thư viện EmguCV</w:t>
      </w:r>
    </w:p>
    <w:p w:rsidR="005C082E" w:rsidRPr="000772A5" w:rsidRDefault="005C082E" w:rsidP="000772A5">
      <w:pPr>
        <w:pStyle w:val="ListParagraph"/>
        <w:jc w:val="both"/>
        <w:rPr>
          <w:color w:val="000000"/>
          <w:szCs w:val="28"/>
        </w:rPr>
      </w:pPr>
    </w:p>
    <w:p w:rsidR="005C082E" w:rsidRPr="005C082E" w:rsidRDefault="005C082E" w:rsidP="005C082E">
      <w:pPr>
        <w:shd w:val="clear" w:color="auto" w:fill="FFFFFF"/>
        <w:rPr>
          <w:szCs w:val="28"/>
        </w:rPr>
      </w:pPr>
    </w:p>
    <w:p w:rsidR="00854FDD" w:rsidRPr="00FB3921" w:rsidRDefault="00854FDD" w:rsidP="007634D4">
      <w:pPr>
        <w:shd w:val="clear" w:color="auto" w:fill="FFFFFF"/>
        <w:jc w:val="center"/>
        <w:rPr>
          <w:szCs w:val="28"/>
        </w:rPr>
      </w:pPr>
    </w:p>
    <w:p w:rsidR="00FB3921" w:rsidRPr="00854FDD" w:rsidRDefault="00FB3921" w:rsidP="00854FDD">
      <w:pPr>
        <w:pStyle w:val="p2"/>
        <w:spacing w:line="360" w:lineRule="auto"/>
        <w:rPr>
          <w:rFonts w:ascii="Times New Roman" w:hAnsi="Times New Roman"/>
          <w:sz w:val="18"/>
          <w:szCs w:val="18"/>
          <w:lang w:val="en-US"/>
        </w:rPr>
      </w:pPr>
    </w:p>
    <w:p w:rsidR="00FB3921" w:rsidRPr="00FB3921" w:rsidRDefault="00FB3921" w:rsidP="000F7AC4">
      <w:pPr>
        <w:pStyle w:val="ListParagraph"/>
        <w:ind w:left="0"/>
        <w:jc w:val="both"/>
        <w:rPr>
          <w:szCs w:val="28"/>
        </w:rPr>
      </w:pPr>
    </w:p>
    <w:sectPr w:rsidR="00FB3921" w:rsidRPr="00FB3921"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F4" w:rsidRDefault="005438F4" w:rsidP="005C2D2E">
      <w:pPr>
        <w:spacing w:line="240" w:lineRule="auto"/>
      </w:pPr>
      <w:r>
        <w:separator/>
      </w:r>
    </w:p>
  </w:endnote>
  <w:endnote w:type="continuationSeparator" w:id="0">
    <w:p w:rsidR="005438F4" w:rsidRDefault="005438F4"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UIFont">
    <w:altName w:val="Cambria"/>
    <w:charset w:val="00"/>
    <w:family w:val="roman"/>
    <w:pitch w:val="default"/>
  </w:font>
  <w:font w:name="UICTFontTextStyleBody">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5438F4">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F4" w:rsidRDefault="005438F4" w:rsidP="005C2D2E">
      <w:pPr>
        <w:spacing w:line="240" w:lineRule="auto"/>
      </w:pPr>
      <w:r>
        <w:separator/>
      </w:r>
    </w:p>
  </w:footnote>
  <w:footnote w:type="continuationSeparator" w:id="0">
    <w:p w:rsidR="005438F4" w:rsidRDefault="005438F4"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C45" w:rsidRDefault="005438F4">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772A5"/>
    <w:rsid w:val="000926AA"/>
    <w:rsid w:val="0009618D"/>
    <w:rsid w:val="000F7AC4"/>
    <w:rsid w:val="0016365E"/>
    <w:rsid w:val="001778AC"/>
    <w:rsid w:val="00190579"/>
    <w:rsid w:val="001B2398"/>
    <w:rsid w:val="001B4DB4"/>
    <w:rsid w:val="001C2533"/>
    <w:rsid w:val="001C2B90"/>
    <w:rsid w:val="001F1EF5"/>
    <w:rsid w:val="001F2D1B"/>
    <w:rsid w:val="00221D5B"/>
    <w:rsid w:val="00255B9A"/>
    <w:rsid w:val="002776BF"/>
    <w:rsid w:val="00291DD0"/>
    <w:rsid w:val="002B0DF0"/>
    <w:rsid w:val="002B334B"/>
    <w:rsid w:val="002D34DA"/>
    <w:rsid w:val="00311745"/>
    <w:rsid w:val="00363A1B"/>
    <w:rsid w:val="00430603"/>
    <w:rsid w:val="0044697F"/>
    <w:rsid w:val="004552A7"/>
    <w:rsid w:val="004C3AF9"/>
    <w:rsid w:val="004D326B"/>
    <w:rsid w:val="005438F4"/>
    <w:rsid w:val="005758F2"/>
    <w:rsid w:val="0057735D"/>
    <w:rsid w:val="005B220A"/>
    <w:rsid w:val="005C082E"/>
    <w:rsid w:val="005C2D2E"/>
    <w:rsid w:val="005F3AF9"/>
    <w:rsid w:val="00653127"/>
    <w:rsid w:val="00661029"/>
    <w:rsid w:val="00676578"/>
    <w:rsid w:val="006B11FF"/>
    <w:rsid w:val="006E72D3"/>
    <w:rsid w:val="0070624F"/>
    <w:rsid w:val="00711DE8"/>
    <w:rsid w:val="007313B4"/>
    <w:rsid w:val="0073722C"/>
    <w:rsid w:val="007634D4"/>
    <w:rsid w:val="0078071A"/>
    <w:rsid w:val="0079563E"/>
    <w:rsid w:val="007C5A43"/>
    <w:rsid w:val="007D155D"/>
    <w:rsid w:val="007F4D3E"/>
    <w:rsid w:val="0081706B"/>
    <w:rsid w:val="00854FDD"/>
    <w:rsid w:val="0086506E"/>
    <w:rsid w:val="00881E23"/>
    <w:rsid w:val="00893A02"/>
    <w:rsid w:val="008E236E"/>
    <w:rsid w:val="008E7525"/>
    <w:rsid w:val="009219E7"/>
    <w:rsid w:val="00942F0B"/>
    <w:rsid w:val="00947803"/>
    <w:rsid w:val="009E4EEA"/>
    <w:rsid w:val="009E5F32"/>
    <w:rsid w:val="00A67773"/>
    <w:rsid w:val="00A94C89"/>
    <w:rsid w:val="00AE1524"/>
    <w:rsid w:val="00AF166E"/>
    <w:rsid w:val="00B10E73"/>
    <w:rsid w:val="00B11BB0"/>
    <w:rsid w:val="00B25B4F"/>
    <w:rsid w:val="00B86E7C"/>
    <w:rsid w:val="00BE59E1"/>
    <w:rsid w:val="00BF7020"/>
    <w:rsid w:val="00C0626F"/>
    <w:rsid w:val="00C2655C"/>
    <w:rsid w:val="00CB1F8E"/>
    <w:rsid w:val="00CB4F83"/>
    <w:rsid w:val="00D51BCA"/>
    <w:rsid w:val="00D73404"/>
    <w:rsid w:val="00E40C6C"/>
    <w:rsid w:val="00E51AFB"/>
    <w:rsid w:val="00EB35C4"/>
    <w:rsid w:val="00EC41D7"/>
    <w:rsid w:val="00EC562E"/>
    <w:rsid w:val="00F228E6"/>
    <w:rsid w:val="00F7109D"/>
    <w:rsid w:val="00F85005"/>
    <w:rsid w:val="00F930B1"/>
    <w:rsid w:val="00FA7183"/>
    <w:rsid w:val="00FB3921"/>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CD74"/>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9A"/>
    <w:pPr>
      <w:spacing w:after="0" w:line="360" w:lineRule="auto"/>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361A-9CE8-4717-BFED-3E540100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90</cp:revision>
  <dcterms:created xsi:type="dcterms:W3CDTF">2023-03-25T14:05:00Z</dcterms:created>
  <dcterms:modified xsi:type="dcterms:W3CDTF">2023-03-25T15:08:00Z</dcterms:modified>
</cp:coreProperties>
</file>