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color w:val="0F172A"/>
          <w:sz w:val="34"/>
        </w:rPr>
        <w:t>FILEGUARD: SECURE EPHEMERAL FILE SHARING SYSTEM</w:t>
      </w:r>
    </w:p>
    <w:p>
      <w:pPr>
        <w:spacing w:after="160"/>
      </w:pPr>
      <w:r>
        <w:rPr>
          <w:b/>
          <w:color w:val="0284C7"/>
          <w:sz w:val="22"/>
        </w:rPr>
        <w:t>Technical Architecture, Cryptographic Integrity Verification &amp; Forensic Telemetry</w:t>
      </w:r>
    </w:p>
    <w:tbl>
      <w:tblPr>
        <w:tblW w:type="auto" w:w="0"/>
        <w:jc w:val="center"/>
        <w:tblLayout w:type="fixed"/>
        <w:tblLook w:firstColumn="1" w:firstRow="1" w:lastColumn="0" w:lastRow="0" w:noHBand="0" w:noVBand="1" w:val="04A0"/>
      </w:tblPr>
      <w:tblGrid>
        <w:gridCol w:w="5112"/>
        <w:gridCol w:w="5112"/>
      </w:tblGrid>
      <w:tr>
        <w:tc>
          <w:tcPr>
            <w:tcW w:type="dxa" w:w="5040"/>
            <w:shd w:fill="F1F5F9"/>
            <w:tcMar>
              <w:top w:w="60" w:type="dxa"/>
              <w:bottom w:w="60" w:type="dxa"/>
              <w:left w:w="100" w:type="dxa"/>
              <w:right w:w="100" w:type="dxa"/>
            </w:tcMar>
          </w:tcPr>
          <w:p>
            <w:pPr>
              <w:spacing w:after="0"/>
            </w:pPr>
            <w:r>
              <w:rPr>
                <w:b/>
                <w:sz w:val="17"/>
              </w:rPr>
              <w:t>Course / Domain:</w:t>
            </w:r>
            <w:r>
              <w:rPr>
                <w:sz w:val="17"/>
              </w:rPr>
              <w:t xml:space="preserve"> Information &amp; Network Security (INS::2026)</w:t>
            </w:r>
          </w:p>
        </w:tc>
        <w:tc>
          <w:tcPr>
            <w:tcW w:type="dxa" w:w="5184"/>
            <w:shd w:fill="F1F5F9"/>
            <w:tcMar>
              <w:top w:w="60" w:type="dxa"/>
              <w:bottom w:w="60" w:type="dxa"/>
              <w:left w:w="100" w:type="dxa"/>
              <w:right w:w="100" w:type="dxa"/>
            </w:tcMar>
          </w:tcPr>
          <w:p>
            <w:pPr>
              <w:spacing w:after="0"/>
            </w:pPr>
            <w:r>
              <w:rPr>
                <w:b/>
                <w:sz w:val="17"/>
              </w:rPr>
              <w:t>Live Production URL:</w:t>
            </w:r>
            <w:r>
              <w:rPr>
                <w:sz w:val="17"/>
              </w:rPr>
              <w:t xml:space="preserve"> https://files.deeptanil.in</w:t>
            </w:r>
          </w:p>
        </w:tc>
      </w:tr>
      <w:tr>
        <w:tc>
          <w:tcPr>
            <w:tcW w:type="dxa" w:w="5040"/>
            <w:shd w:fill="F1F5F9"/>
            <w:tcMar>
              <w:top w:w="60" w:type="dxa"/>
              <w:bottom w:w="60" w:type="dxa"/>
              <w:left w:w="100" w:type="dxa"/>
              <w:right w:w="100" w:type="dxa"/>
            </w:tcMar>
          </w:tcPr>
          <w:p>
            <w:pPr>
              <w:spacing w:after="0"/>
            </w:pPr>
            <w:r>
              <w:rPr>
                <w:b/>
                <w:sz w:val="17"/>
              </w:rPr>
              <w:t>Core Stack:</w:t>
            </w:r>
            <w:r>
              <w:rPr>
                <w:sz w:val="17"/>
              </w:rPr>
              <w:t xml:space="preserve"> Python 3.14, Flask, PostgreSQL, B2 S3</w:t>
            </w:r>
          </w:p>
        </w:tc>
        <w:tc>
          <w:tcPr>
            <w:tcW w:type="dxa" w:w="5184"/>
            <w:shd w:fill="F1F5F9"/>
            <w:tcMar>
              <w:top w:w="60" w:type="dxa"/>
              <w:bottom w:w="60" w:type="dxa"/>
              <w:left w:w="100" w:type="dxa"/>
              <w:right w:w="100" w:type="dxa"/>
            </w:tcMar>
          </w:tcPr>
          <w:p>
            <w:pPr>
              <w:spacing w:after="0"/>
            </w:pPr>
            <w:r>
              <w:rPr>
                <w:b/>
                <w:sz w:val="17"/>
              </w:rPr>
              <w:t>Source Repository:</w:t>
            </w:r>
            <w:r>
              <w:rPr>
                <w:sz w:val="17"/>
              </w:rPr>
              <w:t xml:space="preserve"> https://github.com/Deeptanil/FileGuard.git</w:t>
            </w:r>
          </w:p>
        </w:tc>
      </w:tr>
    </w:tbl>
    <w:p>
      <w:pPr>
        <w:spacing w:after="80"/>
      </w:pPr>
    </w:p>
    <w:p>
      <w:pPr>
        <w:keepNext/>
        <w:spacing w:before="200" w:after="60"/>
        <w:pBdr>
          <w:bottom w:val="single" w:sz="8" w:space="2" w:color="0284C7"/>
        </w:pBdr>
      </w:pPr>
      <w:r>
        <w:rPr>
          <w:b/>
          <w:color w:val="0F172A"/>
          <w:sz w:val="24"/>
        </w:rPr>
        <w:t>1. Executive Summary &amp; Problem Formulation</w:t>
      </w:r>
    </w:p>
    <w:p>
      <w:r>
        <w:t>Modern cloud file-transfer utilities suffer from three critical architectural flaws: (1) silent data degradation and undetectable bit-rot, (2) 'ghost file persistence' where expired assets linger on remote disks for weeks, and (3) pervasive tracking requiring mandatory user registration and cookie surveillance. FileGuard resolves these vulnerabilities by pairing an authoritative 12-hour ephemeral lifecycle with a pre-flight cryptographic gate that guarantees zero-knowledge anonymity, bit-level integrity, and immediate multi-cloud storage purging.</w:t>
      </w:r>
    </w:p>
    <w:p>
      <w:pPr>
        <w:keepNext/>
        <w:spacing w:before="200" w:after="60"/>
        <w:pBdr>
          <w:bottom w:val="single" w:sz="8" w:space="2" w:color="0284C7"/>
        </w:pBdr>
      </w:pPr>
      <w:r>
        <w:rPr>
          <w:b/>
          <w:color w:val="0F172A"/>
          <w:sz w:val="24"/>
        </w:rPr>
        <w:t>2. System Architecture &amp; Core Specifications</w:t>
      </w:r>
    </w:p>
    <w:p>
      <w:r>
        <w:t>FileGuard is architected as an asynchronous, defensive gateway coordinating application-layer security, relational state, and S3-compatible cloud object storage.</w:t>
      </w:r>
    </w:p>
    <w:tbl>
      <w:tblPr>
        <w:tblW w:type="auto" w:w="0"/>
        <w:jc w:val="center"/>
        <w:tblLook w:firstColumn="1" w:firstRow="1" w:lastColumn="0" w:lastRow="0" w:noHBand="0" w:noVBand="1" w:val="04A0"/>
      </w:tblPr>
      <w:tblGrid>
        <w:gridCol w:w="3408"/>
        <w:gridCol w:w="3408"/>
        <w:gridCol w:w="3408"/>
      </w:tblGrid>
      <w:tr>
        <w:tc>
          <w:tcPr>
            <w:tcW w:type="dxa" w:w="3408"/>
            <w:shd w:fill="0F172A"/>
            <w:tcMar>
              <w:top w:w="80" w:type="dxa"/>
              <w:bottom w:w="80" w:type="dxa"/>
              <w:left w:w="100" w:type="dxa"/>
              <w:right w:w="100" w:type="dxa"/>
            </w:tcMar>
          </w:tcPr>
          <w:p>
            <w:pPr>
              <w:spacing w:after="0"/>
            </w:pPr>
            <w:r>
              <w:rPr>
                <w:b/>
                <w:color w:val="FFFFFF"/>
                <w:sz w:val="17"/>
              </w:rPr>
              <w:t>Subsystem</w:t>
            </w:r>
          </w:p>
        </w:tc>
        <w:tc>
          <w:tcPr>
            <w:tcW w:type="dxa" w:w="3408"/>
            <w:shd w:fill="0F172A"/>
            <w:tcMar>
              <w:top w:w="80" w:type="dxa"/>
              <w:bottom w:w="80" w:type="dxa"/>
              <w:left w:w="100" w:type="dxa"/>
              <w:right w:w="100" w:type="dxa"/>
            </w:tcMar>
          </w:tcPr>
          <w:p>
            <w:pPr>
              <w:spacing w:after="0"/>
            </w:pPr>
            <w:r>
              <w:rPr>
                <w:b/>
                <w:color w:val="FFFFFF"/>
                <w:sz w:val="17"/>
              </w:rPr>
              <w:t>Engineering Technology</w:t>
            </w:r>
          </w:p>
        </w:tc>
        <w:tc>
          <w:tcPr>
            <w:tcW w:type="dxa" w:w="3408"/>
            <w:shd w:fill="0F172A"/>
            <w:tcMar>
              <w:top w:w="80" w:type="dxa"/>
              <w:bottom w:w="80" w:type="dxa"/>
              <w:left w:w="100" w:type="dxa"/>
              <w:right w:w="100" w:type="dxa"/>
            </w:tcMar>
          </w:tcPr>
          <w:p>
            <w:pPr>
              <w:spacing w:after="0"/>
            </w:pPr>
            <w:r>
              <w:rPr>
                <w:b/>
                <w:color w:val="FFFFFF"/>
                <w:sz w:val="17"/>
              </w:rPr>
              <w:t>Security Function &amp; Standard</w:t>
            </w:r>
          </w:p>
        </w:tc>
      </w:tr>
      <w:tr>
        <w:tc>
          <w:tcPr>
            <w:tcW w:type="dxa" w:w="2304"/>
            <w:shd w:fill="F8FAFC"/>
            <w:tcMar>
              <w:top w:w="60" w:type="dxa"/>
              <w:bottom w:w="60" w:type="dxa"/>
              <w:left w:w="100" w:type="dxa"/>
              <w:right w:w="100" w:type="dxa"/>
            </w:tcMar>
          </w:tcPr>
          <w:p>
            <w:pPr>
              <w:spacing w:after="0"/>
            </w:pPr>
            <w:r>
              <w:rPr>
                <w:sz w:val="17"/>
              </w:rPr>
              <w:t>Gateway Runtime</w:t>
            </w:r>
          </w:p>
        </w:tc>
        <w:tc>
          <w:tcPr>
            <w:tcW w:type="dxa" w:w="3312"/>
            <w:shd w:fill="F8FAFC"/>
            <w:tcMar>
              <w:top w:w="60" w:type="dxa"/>
              <w:bottom w:w="60" w:type="dxa"/>
              <w:left w:w="100" w:type="dxa"/>
              <w:right w:w="100" w:type="dxa"/>
            </w:tcMar>
          </w:tcPr>
          <w:p>
            <w:pPr>
              <w:spacing w:after="0"/>
            </w:pPr>
            <w:r>
              <w:rPr>
                <w:sz w:val="17"/>
              </w:rPr>
              <w:t>Python 3.14 / Flask / Gunicorn</w:t>
            </w:r>
          </w:p>
        </w:tc>
        <w:tc>
          <w:tcPr>
            <w:tcW w:type="dxa" w:w="4608"/>
            <w:shd w:fill="F8FAFC"/>
            <w:tcMar>
              <w:top w:w="60" w:type="dxa"/>
              <w:bottom w:w="60" w:type="dxa"/>
              <w:left w:w="100" w:type="dxa"/>
              <w:right w:w="100" w:type="dxa"/>
            </w:tcMar>
          </w:tcPr>
          <w:p>
            <w:pPr>
              <w:spacing w:after="0"/>
            </w:pPr>
            <w:r>
              <w:rPr>
                <w:sz w:val="17"/>
              </w:rPr>
              <w:t>Strict CSPRNG tokenization, CSRF, and nosniff enforcement</w:t>
            </w:r>
          </w:p>
        </w:tc>
      </w:tr>
      <w:tr>
        <w:tc>
          <w:tcPr>
            <w:tcW w:type="dxa" w:w="2304"/>
            <w:shd w:fill="FFFFFF"/>
            <w:tcMar>
              <w:top w:w="60" w:type="dxa"/>
              <w:bottom w:w="60" w:type="dxa"/>
              <w:left w:w="100" w:type="dxa"/>
              <w:right w:w="100" w:type="dxa"/>
            </w:tcMar>
          </w:tcPr>
          <w:p>
            <w:pPr>
              <w:spacing w:after="0"/>
            </w:pPr>
            <w:r>
              <w:rPr>
                <w:sz w:val="17"/>
              </w:rPr>
              <w:t>Relational State</w:t>
            </w:r>
          </w:p>
        </w:tc>
        <w:tc>
          <w:tcPr>
            <w:tcW w:type="dxa" w:w="3312"/>
            <w:shd w:fill="FFFFFF"/>
            <w:tcMar>
              <w:top w:w="60" w:type="dxa"/>
              <w:bottom w:w="60" w:type="dxa"/>
              <w:left w:w="100" w:type="dxa"/>
              <w:right w:w="100" w:type="dxa"/>
            </w:tcMar>
          </w:tcPr>
          <w:p>
            <w:pPr>
              <w:spacing w:after="0"/>
            </w:pPr>
            <w:r>
              <w:rPr>
                <w:sz w:val="17"/>
              </w:rPr>
              <w:t>Neon Serverless PostgreSQL</w:t>
            </w:r>
          </w:p>
        </w:tc>
        <w:tc>
          <w:tcPr>
            <w:tcW w:type="dxa" w:w="4608"/>
            <w:shd w:fill="FFFFFF"/>
            <w:tcMar>
              <w:top w:w="60" w:type="dxa"/>
              <w:bottom w:w="60" w:type="dxa"/>
              <w:left w:w="100" w:type="dxa"/>
              <w:right w:w="100" w:type="dxa"/>
            </w:tcMar>
          </w:tcPr>
          <w:p>
            <w:pPr>
              <w:spacing w:after="0"/>
            </w:pPr>
            <w:r>
              <w:rPr>
                <w:sz w:val="17"/>
              </w:rPr>
              <w:t>Stores SHA-256 token hashes &amp; authoritative UTC deadlines</w:t>
            </w:r>
          </w:p>
        </w:tc>
      </w:tr>
      <w:tr>
        <w:tc>
          <w:tcPr>
            <w:tcW w:type="dxa" w:w="2304"/>
            <w:shd w:fill="F8FAFC"/>
            <w:tcMar>
              <w:top w:w="60" w:type="dxa"/>
              <w:bottom w:w="60" w:type="dxa"/>
              <w:left w:w="100" w:type="dxa"/>
              <w:right w:w="100" w:type="dxa"/>
            </w:tcMar>
          </w:tcPr>
          <w:p>
            <w:pPr>
              <w:spacing w:after="0"/>
            </w:pPr>
            <w:r>
              <w:rPr>
                <w:sz w:val="17"/>
              </w:rPr>
              <w:t>Object Storage</w:t>
            </w:r>
          </w:p>
        </w:tc>
        <w:tc>
          <w:tcPr>
            <w:tcW w:type="dxa" w:w="3312"/>
            <w:shd w:fill="F8FAFC"/>
            <w:tcMar>
              <w:top w:w="60" w:type="dxa"/>
              <w:bottom w:w="60" w:type="dxa"/>
              <w:left w:w="100" w:type="dxa"/>
              <w:right w:w="100" w:type="dxa"/>
            </w:tcMar>
          </w:tcPr>
          <w:p>
            <w:pPr>
              <w:spacing w:after="0"/>
            </w:pPr>
            <w:r>
              <w:rPr>
                <w:sz w:val="17"/>
              </w:rPr>
              <w:t>Backblaze B2 S3 (boto3)</w:t>
            </w:r>
          </w:p>
        </w:tc>
        <w:tc>
          <w:tcPr>
            <w:tcW w:type="dxa" w:w="4608"/>
            <w:shd w:fill="F8FAFC"/>
            <w:tcMar>
              <w:top w:w="60" w:type="dxa"/>
              <w:bottom w:w="60" w:type="dxa"/>
              <w:left w:w="100" w:type="dxa"/>
              <w:right w:w="100" w:type="dxa"/>
            </w:tcMar>
          </w:tcPr>
          <w:p>
            <w:pPr>
              <w:spacing w:after="0"/>
            </w:pPr>
            <w:r>
              <w:rPr>
                <w:sz w:val="17"/>
              </w:rPr>
              <w:t>Parallel chunk streaming (10 threads, 256 KB memory buffer)</w:t>
            </w:r>
          </w:p>
        </w:tc>
      </w:tr>
      <w:tr>
        <w:tc>
          <w:tcPr>
            <w:tcW w:type="dxa" w:w="2304"/>
            <w:shd w:fill="FFFFFF"/>
            <w:tcMar>
              <w:top w:w="60" w:type="dxa"/>
              <w:bottom w:w="60" w:type="dxa"/>
              <w:left w:w="100" w:type="dxa"/>
              <w:right w:w="100" w:type="dxa"/>
            </w:tcMar>
          </w:tcPr>
          <w:p>
            <w:pPr>
              <w:spacing w:after="0"/>
            </w:pPr>
            <w:r>
              <w:rPr>
                <w:sz w:val="17"/>
              </w:rPr>
              <w:t>Integrity Gate</w:t>
            </w:r>
          </w:p>
        </w:tc>
        <w:tc>
          <w:tcPr>
            <w:tcW w:type="dxa" w:w="3312"/>
            <w:shd w:fill="FFFFFF"/>
            <w:tcMar>
              <w:top w:w="60" w:type="dxa"/>
              <w:bottom w:w="60" w:type="dxa"/>
              <w:left w:w="100" w:type="dxa"/>
              <w:right w:w="100" w:type="dxa"/>
            </w:tcMar>
          </w:tcPr>
          <w:p>
            <w:pPr>
              <w:spacing w:after="0"/>
            </w:pPr>
            <w:r>
              <w:rPr>
                <w:sz w:val="17"/>
              </w:rPr>
              <w:t>SHA-256 Pre-Flight Engine</w:t>
            </w:r>
          </w:p>
        </w:tc>
        <w:tc>
          <w:tcPr>
            <w:tcW w:type="dxa" w:w="4608"/>
            <w:shd w:fill="FFFFFF"/>
            <w:tcMar>
              <w:top w:w="60" w:type="dxa"/>
              <w:bottom w:w="60" w:type="dxa"/>
              <w:left w:w="100" w:type="dxa"/>
              <w:right w:w="100" w:type="dxa"/>
            </w:tcMar>
          </w:tcPr>
          <w:p>
            <w:pPr>
              <w:spacing w:after="0"/>
            </w:pPr>
            <w:r>
              <w:rPr>
                <w:sz w:val="17"/>
              </w:rPr>
              <w:t>Dynamic bit-level validation halting modified downloads (HTTP 409)</w:t>
            </w:r>
          </w:p>
        </w:tc>
      </w:tr>
      <w:tr>
        <w:tc>
          <w:tcPr>
            <w:tcW w:type="dxa" w:w="2304"/>
            <w:shd w:fill="F8FAFC"/>
            <w:tcMar>
              <w:top w:w="60" w:type="dxa"/>
              <w:bottom w:w="60" w:type="dxa"/>
              <w:left w:w="100" w:type="dxa"/>
              <w:right w:w="100" w:type="dxa"/>
            </w:tcMar>
          </w:tcPr>
          <w:p>
            <w:pPr>
              <w:spacing w:after="0"/>
            </w:pPr>
            <w:r>
              <w:rPr>
                <w:sz w:val="17"/>
              </w:rPr>
              <w:t>Subnet Gate</w:t>
            </w:r>
          </w:p>
        </w:tc>
        <w:tc>
          <w:tcPr>
            <w:tcW w:type="dxa" w:w="3312"/>
            <w:shd w:fill="F8FAFC"/>
            <w:tcMar>
              <w:top w:w="60" w:type="dxa"/>
              <w:bottom w:w="60" w:type="dxa"/>
              <w:left w:w="100" w:type="dxa"/>
              <w:right w:w="100" w:type="dxa"/>
            </w:tcMar>
          </w:tcPr>
          <w:p>
            <w:pPr>
              <w:spacing w:after="0"/>
            </w:pPr>
            <w:r>
              <w:rPr>
                <w:sz w:val="17"/>
              </w:rPr>
              <w:t>Flask-Limiter / CIDR Masking</w:t>
            </w:r>
          </w:p>
        </w:tc>
        <w:tc>
          <w:tcPr>
            <w:tcW w:type="dxa" w:w="4608"/>
            <w:shd w:fill="F8FAFC"/>
            <w:tcMar>
              <w:top w:w="60" w:type="dxa"/>
              <w:bottom w:w="60" w:type="dxa"/>
              <w:left w:w="100" w:type="dxa"/>
              <w:right w:w="100" w:type="dxa"/>
            </w:tcMar>
          </w:tcPr>
          <w:p>
            <w:pPr>
              <w:spacing w:after="0"/>
            </w:pPr>
            <w:r>
              <w:rPr>
                <w:sz w:val="17"/>
              </w:rPr>
              <w:t>Anonymous abuse mitigation (100 MB per 12h per /64 IPv6, /24 IPv4)</w:t>
            </w:r>
          </w:p>
        </w:tc>
      </w:tr>
    </w:tbl>
    <w:p>
      <w:pPr>
        <w:spacing w:after="40"/>
      </w:pPr>
    </w:p>
    <w:p>
      <w:pPr>
        <w:keepNext/>
        <w:spacing w:before="200" w:after="60"/>
        <w:pBdr>
          <w:bottom w:val="single" w:sz="8" w:space="2" w:color="0284C7"/>
        </w:pBdr>
      </w:pPr>
      <w:r>
        <w:rPr>
          <w:b/>
          <w:color w:val="0F172A"/>
          <w:sz w:val="24"/>
        </w:rPr>
        <w:t>3. Cryptographic Verification &amp; Defense Mechanisms</w:t>
      </w:r>
    </w:p>
    <w:p>
      <w:pPr>
        <w:pStyle w:val="ListBullet"/>
        <w:spacing w:after="40" w:line="276" w:lineRule="auto"/>
      </w:pPr>
      <w:r>
        <w:rPr>
          <w:b/>
          <w:sz w:val="19"/>
        </w:rPr>
        <w:t xml:space="preserve">Pre-Flight SHA-256 Anti-Tamper Gate: </w:t>
      </w:r>
      <w:r>
        <w:rPr>
          <w:sz w:val="19"/>
        </w:rPr>
        <w:t>Upon file upload, an immutable SHA-256 reference digest is computed chunk-by-chunk and committed to PostgreSQL. Prior to serving any download, FileGuard dynamically hashes the physical storage block. If an adversary alters even a single bit in storage, the stream is abruptly aborted, returning HTTP 409 Conflict.</w:t>
      </w:r>
    </w:p>
    <w:p>
      <w:pPr>
        <w:pStyle w:val="ListBullet"/>
        <w:spacing w:after="40" w:line="276" w:lineRule="auto"/>
      </w:pPr>
      <w:r>
        <w:rPr>
          <w:b/>
          <w:sz w:val="19"/>
        </w:rPr>
        <w:t xml:space="preserve">CSPRNG Tokenization &amp; At-Rest Hash Isolation: </w:t>
      </w:r>
      <w:r>
        <w:rPr>
          <w:sz w:val="19"/>
        </w:rPr>
        <w:t>Public sharing tokens are generated via Python's secrets module (256-bit entropy formatted as XXXX-XXXX). The raw token is delivered exclusively to the uploader and never saved in plaintext; only its SHA-256 digest is indexed, rendering database dumps useless for link enumeration.</w:t>
      </w:r>
    </w:p>
    <w:p>
      <w:pPr>
        <w:pStyle w:val="ListBullet"/>
        <w:spacing w:after="40" w:line="276" w:lineRule="auto"/>
      </w:pPr>
      <w:r>
        <w:rPr>
          <w:b/>
          <w:sz w:val="19"/>
        </w:rPr>
        <w:t xml:space="preserve">In-Memory Multi-File &amp; Folder Bundling: </w:t>
      </w:r>
      <w:r>
        <w:rPr>
          <w:sz w:val="19"/>
        </w:rPr>
        <w:t>Users can drop nested folder hierarchies directly into the upload zone. FileGuard auto-packages the contents dynamically into a standardized ZIP stream entirely in memory, preserving directory structures without writing unencrypted intermediate files to host storage.</w:t>
      </w:r>
    </w:p>
    <w:p>
      <w:pPr>
        <w:pStyle w:val="ListBullet"/>
        <w:spacing w:after="40" w:line="276" w:lineRule="auto"/>
      </w:pPr>
      <w:r>
        <w:rPr>
          <w:b/>
          <w:sz w:val="19"/>
        </w:rPr>
        <w:t xml:space="preserve">Subnet CIDR Quota Isolation: </w:t>
      </w:r>
      <w:r>
        <w:rPr>
          <w:sz w:val="19"/>
        </w:rPr>
        <w:t>To deter automated denial-of-service without compromising anonymity, incoming client IPs are normalized to /64 CIDR blocks (for IPv6) and /24 blocks (for IPv4). Each subnet is capped at 100 MB per rolling 12-hour window.</w:t>
      </w:r>
    </w:p>
    <w:p>
      <w:pPr>
        <w:keepNext/>
        <w:spacing w:before="200" w:after="60"/>
        <w:pBdr>
          <w:bottom w:val="single" w:sz="8" w:space="2" w:color="0284C7"/>
        </w:pBdr>
      </w:pPr>
      <w:r>
        <w:rPr>
          <w:b/>
          <w:color w:val="0F172A"/>
          <w:sz w:val="24"/>
        </w:rPr>
        <w:t>4. Digital Forensics &amp; Audit Telemetry</w:t>
      </w:r>
    </w:p>
    <w:p>
      <w:r>
        <w:t>FileGuard incorporates a structured Security Information and Event Management (SIEM) module. Operating in the administrative portal, it records five audit tiers (INFO, LOW, MEDIUM, HIGH, CRITICAL) and maps external tampering attempts.</w:t>
      </w:r>
    </w:p>
    <w:p>
      <w:pPr>
        <w:pStyle w:val="ListBullet"/>
        <w:spacing w:after="40" w:line="276" w:lineRule="auto"/>
      </w:pPr>
      <w:r>
        <w:rPr>
          <w:b/>
          <w:sz w:val="19"/>
        </w:rPr>
        <w:t xml:space="preserve">Live Bit-Flip Attack Simulator: </w:t>
      </w:r>
      <w:r>
        <w:rPr>
          <w:sz w:val="19"/>
        </w:rPr>
        <w:t>An integrated forensic laboratory allows security evaluators to inject controlled 1-byte corruptions directly into Backblaze B2 storage blocks to observe the circuit breaker intercepting the download live.</w:t>
      </w:r>
    </w:p>
    <w:p>
      <w:pPr>
        <w:pStyle w:val="ListBullet"/>
        <w:spacing w:after="40" w:line="276" w:lineRule="auto"/>
      </w:pPr>
      <w:r>
        <w:rPr>
          <w:b/>
          <w:sz w:val="19"/>
        </w:rPr>
        <w:t xml:space="preserve">OS vs. Application Discrepancy Audits: </w:t>
      </w:r>
      <w:r>
        <w:rPr>
          <w:sz w:val="19"/>
        </w:rPr>
        <w:t>Cross-verifies PostgreSQL catalog timestamps against low-level filesystem inode metadata (stat ctime, mtime, atime) to detect out-of-band administrative tampering.</w:t>
      </w:r>
    </w:p>
    <w:p>
      <w:pPr>
        <w:pStyle w:val="ListBullet"/>
        <w:spacing w:after="40" w:line="276" w:lineRule="auto"/>
      </w:pPr>
      <w:r>
        <w:rPr>
          <w:b/>
          <w:sz w:val="19"/>
        </w:rPr>
        <w:t xml:space="preserve">Forensic Chain-of-Custody Export: </w:t>
      </w:r>
      <w:r>
        <w:rPr>
          <w:sz w:val="19"/>
        </w:rPr>
        <w:t>Generates signed JSON audit packages containing complete download attempts, IP headers, and integrity verifications for legal evidence trails.</w:t>
      </w:r>
    </w:p>
    <w:p>
      <w:pPr>
        <w:keepNext/>
        <w:spacing w:before="200" w:after="60"/>
        <w:pBdr>
          <w:bottom w:val="single" w:sz="8" w:space="2" w:color="0284C7"/>
        </w:pBdr>
      </w:pPr>
      <w:r>
        <w:rPr>
          <w:b/>
          <w:color w:val="0F172A"/>
          <w:sz w:val="24"/>
        </w:rPr>
        <w:t>5. Cloud Infrastructure &amp; Storage Engineering</w:t>
      </w:r>
    </w:p>
    <w:p>
      <w:r>
        <w:t>Production deployment on Render Web Services communicates with Backblaze B2 Object Storage and Neon Serverless PostgreSQL in the Asia-Pacific (Singapore) region. Multi-threaded transfer optimizations resolve traditional latency overhead:</w:t>
      </w:r>
    </w:p>
    <w:p>
      <w:pPr>
        <w:pStyle w:val="ListBullet"/>
        <w:spacing w:after="40" w:line="276" w:lineRule="auto"/>
      </w:pPr>
      <w:r>
        <w:rPr>
          <w:b/>
          <w:sz w:val="19"/>
        </w:rPr>
        <w:t xml:space="preserve">10-Thread Parallel S3 Multipart Streaming: </w:t>
      </w:r>
      <w:r>
        <w:rPr>
          <w:sz w:val="19"/>
        </w:rPr>
        <w:t>Configured boto3.s3.transfer.TransferConfig with 10 concurrent threads and 256 KB memory buffers, reducing transmission latency for high-resolution images, video files, and dense ZIP archives.</w:t>
      </w:r>
    </w:p>
    <w:p>
      <w:pPr>
        <w:pStyle w:val="ListBullet"/>
        <w:spacing w:after="40" w:line="276" w:lineRule="auto"/>
      </w:pPr>
      <w:r>
        <w:rPr>
          <w:b/>
          <w:sz w:val="19"/>
        </w:rPr>
        <w:t xml:space="preserve">10 GB Capacity Tracker with 90% Threshold Alert: </w:t>
      </w:r>
      <w:r>
        <w:rPr>
          <w:sz w:val="19"/>
        </w:rPr>
        <w:t>Real-time capacity gauge continuously tallies active bytes against cloud tier quotas, accompanied by a 7-day dual-axis trajectory graph tracking cumulative data consumption.</w:t>
      </w:r>
    </w:p>
    <w:p>
      <w:pPr>
        <w:pStyle w:val="ListBullet"/>
        <w:spacing w:after="40" w:line="276" w:lineRule="auto"/>
      </w:pPr>
      <w:r>
        <w:rPr>
          <w:b/>
          <w:sz w:val="19"/>
        </w:rPr>
        <w:t xml:space="preserve">Zero-Downtime Conditional Schema Migrations: </w:t>
      </w:r>
      <w:r>
        <w:rPr>
          <w:sz w:val="19"/>
        </w:rPr>
        <w:t>Embedded dialect-aware DDL scripts inside init_db.py automatically sync missing database columns and indices during Render deployment cycles without data loss.</w:t>
      </w:r>
    </w:p>
    <w:p>
      <w:pPr>
        <w:keepNext/>
        <w:spacing w:before="200" w:after="60"/>
        <w:pBdr>
          <w:bottom w:val="single" w:sz="8" w:space="2" w:color="0284C7"/>
        </w:pBdr>
      </w:pPr>
      <w:r>
        <w:rPr>
          <w:b/>
          <w:color w:val="0F172A"/>
          <w:sz w:val="24"/>
        </w:rPr>
        <w:t>6. Privacy-First Client Vault &amp; UX Architecture</w:t>
      </w:r>
    </w:p>
    <w:p>
      <w:r>
        <w:t>The frontend implements a high-contrast Neo-Brutalist design language constructed entirely in vanilla ES6+ JavaScript and CSS3 custom properties, achieving sub-second first-contentful paint without heavy JavaScript framework overhead.</w:t>
      </w:r>
    </w:p>
    <w:p>
      <w:pPr>
        <w:pStyle w:val="ListBullet"/>
        <w:spacing w:after="40" w:line="276" w:lineRule="auto"/>
      </w:pPr>
      <w:r>
        <w:rPr>
          <w:b/>
          <w:sz w:val="19"/>
        </w:rPr>
        <w:t xml:space="preserve">Dual-Tab LocalStorage Vault (/history): </w:t>
      </w:r>
      <w:r>
        <w:rPr>
          <w:sz w:val="19"/>
        </w:rPr>
        <w:t>Stores records of 'Uploaded By Me' and 'Shared With Me (Viewed)' directly on the client's device. No user profiles or personal tracking data are ever transmitted to the server.</w:t>
      </w:r>
    </w:p>
    <w:p>
      <w:pPr>
        <w:pStyle w:val="ListBullet"/>
        <w:spacing w:after="40" w:line="276" w:lineRule="auto"/>
      </w:pPr>
      <w:r>
        <w:rPr>
          <w:b/>
          <w:sz w:val="19"/>
        </w:rPr>
        <w:t xml:space="preserve">Batch Live Status Synchronization (/api/files/batch-status): </w:t>
      </w:r>
      <w:r>
        <w:rPr>
          <w:sz w:val="19"/>
        </w:rPr>
        <w:t>On page load, the history vault transmits up to 50 local tokens in a single JSON payload to query current state, updating live 1-second countdown tickers in real time.</w:t>
      </w:r>
    </w:p>
    <w:p>
      <w:pPr>
        <w:pStyle w:val="ListBullet"/>
        <w:spacing w:after="40" w:line="276" w:lineRule="auto"/>
      </w:pPr>
      <w:r>
        <w:rPr>
          <w:b/>
          <w:sz w:val="19"/>
        </w:rPr>
        <w:t xml:space="preserve">Instant 1-Click Early Purge: </w:t>
      </w:r>
      <w:r>
        <w:rPr>
          <w:sz w:val="19"/>
        </w:rPr>
        <w:t>Uploaders can immediately revoke and delete their active files from Backblaze B2 ahead of the 12-hour limit, triggering instant cloud deletion.</w:t>
      </w:r>
    </w:p>
    <w:p>
      <w:pPr>
        <w:keepNext/>
        <w:spacing w:before="200" w:after="60"/>
        <w:pBdr>
          <w:bottom w:val="single" w:sz="8" w:space="2" w:color="0284C7"/>
        </w:pBdr>
      </w:pPr>
      <w:r>
        <w:rPr>
          <w:b/>
          <w:color w:val="0F172A"/>
          <w:sz w:val="24"/>
        </w:rPr>
        <w:t>7. Verification, Testing &amp; Empirical Results</w:t>
      </w:r>
    </w:p>
    <w:p>
      <w:r>
        <w:t>The platform undergoes continuous regression verification using an automated Pytest test harness comprising 43 unit, penetration, and integration tests.</w:t>
      </w:r>
    </w:p>
    <w:tbl>
      <w:tblPr>
        <w:tblW w:type="auto" w:w="0"/>
        <w:jc w:val="center"/>
        <w:tblLook w:firstColumn="1" w:firstRow="1" w:lastColumn="0" w:lastRow="0" w:noHBand="0" w:noVBand="1" w:val="04A0"/>
      </w:tblPr>
      <w:tblGrid>
        <w:gridCol w:w="3408"/>
        <w:gridCol w:w="3408"/>
        <w:gridCol w:w="3408"/>
      </w:tblGrid>
      <w:tr>
        <w:tc>
          <w:tcPr>
            <w:tcW w:type="dxa" w:w="3408"/>
            <w:shd w:fill="0F172A"/>
            <w:tcMar>
              <w:top w:w="60" w:type="dxa"/>
              <w:bottom w:w="60" w:type="dxa"/>
              <w:left w:w="100" w:type="dxa"/>
              <w:right w:w="100" w:type="dxa"/>
            </w:tcMar>
          </w:tcPr>
          <w:p>
            <w:pPr>
              <w:spacing w:after="0"/>
            </w:pPr>
            <w:r>
              <w:rPr>
                <w:b/>
                <w:color w:val="FFFFFF"/>
                <w:sz w:val="17"/>
              </w:rPr>
              <w:t>Testing Domain</w:t>
            </w:r>
          </w:p>
        </w:tc>
        <w:tc>
          <w:tcPr>
            <w:tcW w:type="dxa" w:w="3408"/>
            <w:shd w:fill="0F172A"/>
            <w:tcMar>
              <w:top w:w="60" w:type="dxa"/>
              <w:bottom w:w="60" w:type="dxa"/>
              <w:left w:w="100" w:type="dxa"/>
              <w:right w:w="100" w:type="dxa"/>
            </w:tcMar>
          </w:tcPr>
          <w:p>
            <w:pPr>
              <w:spacing w:after="0"/>
            </w:pPr>
            <w:r>
              <w:rPr>
                <w:b/>
                <w:color w:val="FFFFFF"/>
                <w:sz w:val="17"/>
              </w:rPr>
              <w:t>Test Cases Executed</w:t>
            </w:r>
          </w:p>
        </w:tc>
        <w:tc>
          <w:tcPr>
            <w:tcW w:type="dxa" w:w="3408"/>
            <w:shd w:fill="0F172A"/>
            <w:tcMar>
              <w:top w:w="60" w:type="dxa"/>
              <w:bottom w:w="60" w:type="dxa"/>
              <w:left w:w="100" w:type="dxa"/>
              <w:right w:w="100" w:type="dxa"/>
            </w:tcMar>
          </w:tcPr>
          <w:p>
            <w:pPr>
              <w:spacing w:after="0"/>
            </w:pPr>
            <w:r>
              <w:rPr>
                <w:b/>
                <w:color w:val="FFFFFF"/>
                <w:sz w:val="17"/>
              </w:rPr>
              <w:t>Observed Outcome &amp; Status</w:t>
            </w:r>
          </w:p>
        </w:tc>
      </w:tr>
      <w:tr>
        <w:tc>
          <w:tcPr>
            <w:tcW w:type="dxa" w:w="2880"/>
            <w:shd w:fill="F8FAFC"/>
            <w:tcMar>
              <w:top w:w="50" w:type="dxa"/>
              <w:bottom w:w="50" w:type="dxa"/>
              <w:left w:w="100" w:type="dxa"/>
              <w:right w:w="100" w:type="dxa"/>
            </w:tcMar>
          </w:tcPr>
          <w:p>
            <w:pPr>
              <w:spacing w:after="0"/>
            </w:pPr>
            <w:r>
              <w:rPr>
                <w:sz w:val="17"/>
              </w:rPr>
              <w:t>Cryptographic Integrity</w:t>
            </w:r>
          </w:p>
        </w:tc>
        <w:tc>
          <w:tcPr>
            <w:tcW w:type="dxa" w:w="3888"/>
            <w:shd w:fill="F8FAFC"/>
            <w:tcMar>
              <w:top w:w="50" w:type="dxa"/>
              <w:bottom w:w="50" w:type="dxa"/>
              <w:left w:w="100" w:type="dxa"/>
              <w:right w:w="100" w:type="dxa"/>
            </w:tcMar>
          </w:tcPr>
          <w:p>
            <w:pPr>
              <w:spacing w:after="0"/>
            </w:pPr>
            <w:r>
              <w:rPr>
                <w:sz w:val="17"/>
              </w:rPr>
              <w:t>Pre-flight match, bit-flip tampering, corrupted stream abort</w:t>
            </w:r>
          </w:p>
        </w:tc>
        <w:tc>
          <w:tcPr>
            <w:tcW w:type="dxa" w:w="3456"/>
            <w:shd w:fill="F8FAFC"/>
            <w:tcMar>
              <w:top w:w="50" w:type="dxa"/>
              <w:bottom w:w="50" w:type="dxa"/>
              <w:left w:w="100" w:type="dxa"/>
              <w:right w:w="100" w:type="dxa"/>
            </w:tcMar>
          </w:tcPr>
          <w:p>
            <w:pPr>
              <w:spacing w:after="0"/>
            </w:pPr>
            <w:r>
              <w:rPr>
                <w:sz w:val="17"/>
              </w:rPr>
              <w:t>100% Pass — HTTP 409 Anti-Tamper successfully verified</w:t>
            </w:r>
          </w:p>
        </w:tc>
      </w:tr>
      <w:tr>
        <w:tc>
          <w:tcPr>
            <w:tcW w:type="dxa" w:w="2880"/>
            <w:shd w:fill="FFFFFF"/>
            <w:tcMar>
              <w:top w:w="50" w:type="dxa"/>
              <w:bottom w:w="50" w:type="dxa"/>
              <w:left w:w="100" w:type="dxa"/>
              <w:right w:w="100" w:type="dxa"/>
            </w:tcMar>
          </w:tcPr>
          <w:p>
            <w:pPr>
              <w:spacing w:after="0"/>
            </w:pPr>
            <w:r>
              <w:rPr>
                <w:sz w:val="17"/>
              </w:rPr>
              <w:t>Authoritative Expiration</w:t>
            </w:r>
          </w:p>
        </w:tc>
        <w:tc>
          <w:tcPr>
            <w:tcW w:type="dxa" w:w="3888"/>
            <w:shd w:fill="FFFFFF"/>
            <w:tcMar>
              <w:top w:w="50" w:type="dxa"/>
              <w:bottom w:w="50" w:type="dxa"/>
              <w:left w:w="100" w:type="dxa"/>
              <w:right w:w="100" w:type="dxa"/>
            </w:tcMar>
          </w:tcPr>
          <w:p>
            <w:pPr>
              <w:spacing w:after="0"/>
            </w:pPr>
            <w:r>
              <w:rPr>
                <w:sz w:val="17"/>
              </w:rPr>
              <w:t>12-hr deadline expiry, uncleaned disk access, purge sweeper</w:t>
            </w:r>
          </w:p>
        </w:tc>
        <w:tc>
          <w:tcPr>
            <w:tcW w:type="dxa" w:w="3456"/>
            <w:shd w:fill="FFFFFF"/>
            <w:tcMar>
              <w:top w:w="50" w:type="dxa"/>
              <w:bottom w:w="50" w:type="dxa"/>
              <w:left w:w="100" w:type="dxa"/>
              <w:right w:w="100" w:type="dxa"/>
            </w:tcMar>
          </w:tcPr>
          <w:p>
            <w:pPr>
              <w:spacing w:after="0"/>
            </w:pPr>
            <w:r>
              <w:rPr>
                <w:sz w:val="17"/>
              </w:rPr>
              <w:t>100% Pass — HTTP 410 enforced; cloud storage unlinked</w:t>
            </w:r>
          </w:p>
        </w:tc>
      </w:tr>
      <w:tr>
        <w:tc>
          <w:tcPr>
            <w:tcW w:type="dxa" w:w="2880"/>
            <w:shd w:fill="F8FAFC"/>
            <w:tcMar>
              <w:top w:w="50" w:type="dxa"/>
              <w:bottom w:w="50" w:type="dxa"/>
              <w:left w:w="100" w:type="dxa"/>
              <w:right w:w="100" w:type="dxa"/>
            </w:tcMar>
          </w:tcPr>
          <w:p>
            <w:pPr>
              <w:spacing w:after="0"/>
            </w:pPr>
            <w:r>
              <w:rPr>
                <w:sz w:val="17"/>
              </w:rPr>
              <w:t>Penetration &amp; Hardening</w:t>
            </w:r>
          </w:p>
        </w:tc>
        <w:tc>
          <w:tcPr>
            <w:tcW w:type="dxa" w:w="3888"/>
            <w:shd w:fill="F8FAFC"/>
            <w:tcMar>
              <w:top w:w="50" w:type="dxa"/>
              <w:bottom w:w="50" w:type="dxa"/>
              <w:left w:w="100" w:type="dxa"/>
              <w:right w:w="100" w:type="dxa"/>
            </w:tcMar>
          </w:tcPr>
          <w:p>
            <w:pPr>
              <w:spacing w:after="0"/>
            </w:pPr>
            <w:r>
              <w:rPr>
                <w:sz w:val="17"/>
              </w:rPr>
              <w:t>Subnet quota saturation, CSRF injection, path traversal</w:t>
            </w:r>
          </w:p>
        </w:tc>
        <w:tc>
          <w:tcPr>
            <w:tcW w:type="dxa" w:w="3456"/>
            <w:shd w:fill="F8FAFC"/>
            <w:tcMar>
              <w:top w:w="50" w:type="dxa"/>
              <w:bottom w:w="50" w:type="dxa"/>
              <w:left w:w="100" w:type="dxa"/>
              <w:right w:w="100" w:type="dxa"/>
            </w:tcMar>
          </w:tcPr>
          <w:p>
            <w:pPr>
              <w:spacing w:after="0"/>
            </w:pPr>
            <w:r>
              <w:rPr>
                <w:sz w:val="17"/>
              </w:rPr>
              <w:t>100% Pass — Subnet 429 triggered; path traversal sanitized</w:t>
            </w:r>
          </w:p>
        </w:tc>
      </w:tr>
      <w:tr>
        <w:tc>
          <w:tcPr>
            <w:tcW w:type="dxa" w:w="2880"/>
            <w:shd w:fill="FFFFFF"/>
            <w:tcMar>
              <w:top w:w="50" w:type="dxa"/>
              <w:bottom w:w="50" w:type="dxa"/>
              <w:left w:w="100" w:type="dxa"/>
              <w:right w:w="100" w:type="dxa"/>
            </w:tcMar>
          </w:tcPr>
          <w:p>
            <w:pPr>
              <w:spacing w:after="0"/>
            </w:pPr>
            <w:r>
              <w:rPr>
                <w:sz w:val="17"/>
              </w:rPr>
              <w:t>SEO &amp; Discovery Gates</w:t>
            </w:r>
          </w:p>
        </w:tc>
        <w:tc>
          <w:tcPr>
            <w:tcW w:type="dxa" w:w="3888"/>
            <w:shd w:fill="FFFFFF"/>
            <w:tcMar>
              <w:top w:w="50" w:type="dxa"/>
              <w:bottom w:w="50" w:type="dxa"/>
              <w:left w:w="100" w:type="dxa"/>
              <w:right w:w="100" w:type="dxa"/>
            </w:tcMar>
          </w:tcPr>
          <w:p>
            <w:pPr>
              <w:spacing w:after="0"/>
            </w:pPr>
            <w:r>
              <w:rPr>
                <w:sz w:val="17"/>
              </w:rPr>
              <w:t>robots.txt, sitemap.xml, llms.txt, JSON-LD Schema.org</w:t>
            </w:r>
          </w:p>
        </w:tc>
        <w:tc>
          <w:tcPr>
            <w:tcW w:type="dxa" w:w="3456"/>
            <w:shd w:fill="FFFFFF"/>
            <w:tcMar>
              <w:top w:w="50" w:type="dxa"/>
              <w:bottom w:w="50" w:type="dxa"/>
              <w:left w:w="100" w:type="dxa"/>
              <w:right w:w="100" w:type="dxa"/>
            </w:tcMar>
          </w:tcPr>
          <w:p>
            <w:pPr>
              <w:spacing w:after="0"/>
            </w:pPr>
            <w:r>
              <w:rPr>
                <w:sz w:val="17"/>
              </w:rPr>
              <w:t>100% Pass — All crawler &amp; AI discovery manifests verified</w:t>
            </w:r>
          </w:p>
        </w:tc>
      </w:tr>
    </w:tbl>
    <w:p>
      <w:pPr>
        <w:spacing w:after="40"/>
      </w:pPr>
    </w:p>
    <w:p>
      <w:pPr>
        <w:keepNext/>
        <w:spacing w:before="200" w:after="60"/>
        <w:pBdr>
          <w:bottom w:val="single" w:sz="8" w:space="2" w:color="0284C7"/>
        </w:pBdr>
      </w:pPr>
      <w:r>
        <w:rPr>
          <w:b/>
          <w:color w:val="0F172A"/>
          <w:sz w:val="24"/>
        </w:rPr>
        <w:t>8. Conclusion &amp; Project Deliverables</w:t>
      </w:r>
    </w:p>
    <w:p>
      <w:r>
        <w:t>FileGuard demonstrates that temporary file sharing does not require compromising user privacy or accepting data corruption risks. By uniting strict 12-hour self-destruct routines, in-memory folder compression, SHA-256 pre-flight circuit breakers, and client-side vault architectures, the project establishes a production-hardened standard for zero-knowledge ephemeral computing.</w:t>
      </w:r>
    </w:p>
    <w:tbl>
      <w:tblPr>
        <w:tblW w:type="auto" w:w="0"/>
        <w:jc w:val="center"/>
        <w:tblLook w:firstColumn="1" w:firstRow="1" w:lastColumn="0" w:lastRow="0" w:noHBand="0" w:noVBand="1" w:val="04A0"/>
      </w:tblPr>
      <w:tblGrid>
        <w:gridCol w:w="10224"/>
      </w:tblGrid>
      <w:tr>
        <w:tc>
          <w:tcPr>
            <w:tcW w:type="dxa" w:w="10224"/>
            <w:shd w:fill="F1F5F9"/>
            <w:tcMar>
              <w:top w:w="80" w:type="dxa"/>
              <w:bottom w:w="80" w:type="dxa"/>
              <w:left w:w="120" w:type="dxa"/>
              <w:right w:w="120" w:type="dxa"/>
            </w:tcMar>
          </w:tcPr>
          <w:p>
            <w:pPr>
              <w:spacing w:after="0"/>
            </w:pPr>
            <w:r>
              <w:rPr>
                <w:b/>
                <w:sz w:val="18"/>
              </w:rPr>
              <w:t xml:space="preserve">Project Verification Links: </w:t>
            </w:r>
            <w:r>
              <w:rPr>
                <w:sz w:val="18"/>
              </w:rPr>
              <w:t>Live Deployment: https://files.deeptanil.in  |  GitHub Repository: https://github.com/Deeptanil/FileGuard.git  |  AI Manifest: https://files.deeptanil.in/llms.txt</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