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2213A"/>
          <w:sz w:val="40"/>
          <w:szCs w:val="40"/>
        </w:rPr>
        <w:t xml:space="preserve">Family Office — Feature Benchmark Against Established Platforms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Contents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1. Reference set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2. Benchmark matrix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3. What we already do that most of them don't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4. Gaps accepted into v1 (summary of PRD changes)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5. Deliberately not adopted (decisions for the product owner)</w:t>
      </w:r>
    </w:p>
    <w:p>
      <w:pPr>
        <w:pBdr>
          <w:bottom w:val="single" w:color="D7DBE0" w:sz="6" w:space="6"/>
        </w:pBdr>
        <w:spacing w:after="200" w:before="6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Version 1.0 · 11 September 2026 · Companion to the PRD (v2.0)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1. Reference set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Twelve platforms that define the category, grouped by what they are best at. Sources: vendor product pages and three 2026 comparison guides (Aleta, FundCount, Asset Vantage — each vendor-published, so cross-checked against each other).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Signature capabilities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Addepar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Investment analytics for large SFOs/MFOs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Multi-custodian aggregation, ownership structures across entities and generations, TWR/IRR and attribution, exposure and risk analytics, Monte Carlo, configurable reporting, open API, Addison AI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Aleta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Total-wealth "command centre"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asset class incl. lifestyle and digital assets, AI document ingestion for private markets, private-markets cash-flow forecasting, open API + MCP + data cube, white label, mobile-first, sustainability reporting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Masttro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 wealth map for UHNW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 net-worth map, liabilities and insurance, collectibles and digital assets, fund-report extraction, report template library, secure document sharing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Asset Vantage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Accounting-grade reporting (US/India)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Native general ledger, partnership accounting, CBOR/IBOR/ABOR, TWR and IRR/PME, cash-flow forecasting, IPS compliance monitoring, bill pay, document vault, mobile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Archway / FundCount / SumIt / Asseta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Accounting and operations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GL, partnership accounting, intercompany, bill pay, banking, report packages, portal delivery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Black Diamond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Advisory-led reporting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Consolidated performance, client/family portals, report packs, RIA workflows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Landytech Sesame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validation at scale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Global custodian network, automated validation, exposure and risk analytics, ownership visualisation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QPLIX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European multi-asset with real estate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Lease management, white-label family app, private hosting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Copia Wealth Studios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Alternatives intelligence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Entity relationship mapping, deal pipeline, private cash flows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Eton AtlasFive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Family office ERP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Workflow, compliance, system of record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Asora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Simple wealth tracking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Aggregation, private assets, tasks, documents, transparent pricing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mProfit (India)</w:t>
            </w:r>
          </w:p>
        </w:tc>
        <w:tc>
          <w:tcPr>
            <w:tcW w:type="dxa" w:w="24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Investor portfolio tracker</w:t>
            </w:r>
          </w:p>
        </w:tc>
        <w:tc>
          <w:tcPr>
            <w:tcW w:type="dxa" w:w="48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Already benchmarked — PRD Appendix A</w:t>
            </w:r>
          </w:p>
        </w:tc>
      </w:tr>
    </w:tbl>
    <w:p>
      <w:pPr>
        <w:spacing w:after="18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all of them share (baseline): consolidated view across entities, asset classes and currencies; automated aggregation; liquid and illiquid assets; stakeholder-specific reporting; document vault; role-based security; mobile; SOC 2 Type II.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2. Benchmark matrix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Legend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specified in PRD;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Partial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partly covered;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not covered. Disposition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added to PRD now;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v1.1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first release after launch;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v2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later;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intentionally out of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101"/>
        <w:gridCol w:w="1660"/>
        <w:gridCol w:w="1837"/>
        <w:gridCol w:w="2826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#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Who has it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Our spec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Disposition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A. Balance-sheet completeness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A1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Liabilities: mortgages, loans against securities, personal loans, credit lines, guarantees; net worth = assets − liabilities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Masttro, Asset Vantage, Aleta, all GL platforms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(only EMIs as outflows, card balances)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A2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Insurance register: life, health, property, vehicle; sum assured, premiums, renewals, coverage adequacy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Masttro, Aleta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(policy at surrender value only)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A3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Lifestyle / passion assets: art, jewellery, vehicles, collectibles, with valuations and insurance link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Aleta, Masttro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3.14 (manual valuation)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A4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Digital assets (crypto)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Masttro, Aleta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(excluded)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v2 — Indian tax (30 % flat, 1 % TDS, no set-off) and custody make this a separate piece of work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A5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Operating business interests (family company, LLP stakes) with valuation and dividends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Aleta, Asset Vantage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(private_investments covers unlisted equity)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 — reuse private_investments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6"/>
                <w:szCs w:val="16"/>
              </w:rPr>
              <w:t xml:space="preserve">kind = operating_business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B. Structure and ownership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B1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Ownership graph: entity owns entity (trust → LLP → property), look-through consolidation by ownership %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Addepar, Landytech, Asset Vantage, Copia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(property_owners % only)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3.14 ownership links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B2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Family tree / structure chart visualisation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Landytech, Masttro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B3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Nominees, beneficiaries, wills and succession mapping; assets with no nominee flagged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Masttro (partial), advisors' tools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(folder only)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B4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Partnership / capital accounting per partner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Archway, FundCount, Asset Vantage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→ Partial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3.17 partner capital accounts and profit-share close; full partnership tax allocation v1.1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C. Performance and risk analytics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C1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Time-weighted return alongside XIRR; annualised vs cumulative; per period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Addepar, Asset Vantage, Black Diamond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(XIRR only)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C2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Performance attribution / contribution by asset class, entity, manager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C3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Exposure dimensions: sector, market cap, geography, currency, issuer, credit rating, duration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Addepar, Landytech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(asset class + country)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C4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Concentration and IPS rule monitoring (max single issuer %, min rating, max illiquid %, max manager %)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Asset Vantage, Addepar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Full+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3.15 rules inside a full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Investment Policy Framework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(3.19): versioned IPS per family/entity/goal, risk questionnaire, builder, nightly compliance, scheduled and trigger reviews, signed document. Asset Vantage monitors an IPS; none of the reference set builds and versions one.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C5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Stress tests / scenario shocks (equity −30 %, rates +200 bp, INR −10 %)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Addepar, Landytech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C6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Monte Carlo goal-success probability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(deterministic projection)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C7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Private markets metrics: DPI, TVPI, RVPI, PME; J-curve and capital-call forecasting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Aleta, Addepar, Copia, Asset Vantage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(MOIC, unfunded)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C8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Fees and cost-of-ownership analysis: TER, PMS/AIF fees, brokerage, advisor fees vs returns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Addepar, Asset Vantage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D. Data and operations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D1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AI/LLM extraction from PDFs (capital calls, NAV statements, contract notes, unusual formats)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Aleta, Masttro, Landytech, Addepar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(rule-based parsers + mapping assistant)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3.2 addition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D2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Position-level reconciliation dashboard (demat e-CAS vs holdings, bank vs ledger) with exception queue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Landytech, Asset Vantage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(import health)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3.2 addition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D3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12–36 month cash-flow forecast across rent, dividends, coupons, capital calls, taxes, lifestyle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Asset Vantage, Aleta, Asseta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(90-day committed outflows)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3.7 extension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D4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pay / payments execution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Asseta, Archway, Asset Vantage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Full+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3.18 action plane: broker orders, MF transactions, bank/BBPS payments with policy, four-eyes approval, cooling-off, kill switch; AI drafts, humans approve, executor executes. None of the reference platforms combine AI drafting with approval-gated execution to brokers.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D5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General ledger, double-entry books, audit-ready financial statements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Asset Vantage, FundCount, SumIt, Archway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3.17 (decided after review)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D6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Maker-checker approvals on data changes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Eton, GL platforms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→ journals covered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for journals (3.17); other data v1.1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E. Reporting and access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E1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 packs: quarterly pack for principal / trustee / CA, versioned, with corrected-report handling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Addepar, Archway, Black Diamond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(scheduled single reports)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3.9 extension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E2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External viewer portal (CA, advisor, banker) with scoped access and expiry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Black Diamond, Archway, Masttro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(Viewer role)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 extension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E3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White-label family app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QPLIX, Aleta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E4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 API keys, webhooks, bulk export (CSV/Parquet), BI connector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Aleta (API/MCP/Data Cube), Addepar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(OpenAPI for own clients)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v1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 — 3.16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E5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Natural-language Q&amp;A over own data (Addison, Aleta Intelligence, MCP)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Addepar, Aleta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v1.1 — expose MCP server over the API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E6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Visual net-worth map / drill-down from total to transaction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Masttro, Aleta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Partial (dashboard drill by entity/class)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F. Governance, security, compliance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F1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 (ASVS L2, pen test)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v1.1 — start audit after launch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F2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SSO (SAML/OIDC), device management, IP allow-list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Addepar, Asset Vantage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v2 (single-family use)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F3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Sustainability / ESG reporting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Aleta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F4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Multi-family / advisor mode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Black Diamond, MFO platforms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v2 already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F5</w:t>
            </w:r>
          </w:p>
        </w:tc>
        <w:tc>
          <w:tcPr>
            <w:tcW w:type="dxa" w:w="2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Multi-currency base reporting</w:t>
            </w:r>
          </w:p>
        </w:tc>
        <w:tc>
          <w:tcPr>
            <w:tcW w:type="dxa" w:w="16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global platforms</w:t>
            </w:r>
          </w:p>
        </w:tc>
        <w:tc>
          <w:tcPr>
            <w:tcW w:type="dxa" w:w="18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v2 already</w:t>
            </w:r>
          </w:p>
        </w:tc>
        <w:tc>
          <w:tcPr>
            <w:tcW w:type="dxa" w:w="282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v2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3. What we already do that most of them don't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Worth stating for positioning — these are India-specific operational depths absent from the global platforms: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Rent, GST (per GSTIN, GSTR-1/3B), TDS 194-I and 26AS reconciliation, property-tax calendar.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Indian capital-gains engine (grandfathering, 112A exemption, indexation choice, regime comparison, advance tax and 234B/C).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What-if tax planning with optimiser and execution tracking (only Addepar's scenario modelling is comparable, and it is not tax-aware for India).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Working-capital deployment ladder with post-tax yields by entity slab.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Account Aggregator live bank feeds and CAS/contract-note ingestion.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Three-bucket goal lens plus asset-class lens with Indian model portfolios.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4. Gaps accepted into v1 (summary of PRD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PRD section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Added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3.1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External viewer invitations (CA/advisor) with scope and expiry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3.2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LLM-assisted document extraction with confidence + review queue; position-level reconciliation dashboard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3.7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12–36 month cash-flow forecast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3.9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Report packs (composable, versioned, audience-specific)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3.14 (new)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Balance-sheet completeness: liabilities, insurance register, lifestyle assets, operating businesses, ownership graph, nominees and succession map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3.15 (new)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Performance and risk analytics: TWR, exposure dimensions, IPS rules, private-markets metrics and call forecasting, fee analysis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3.16 (new)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Open data: API keys, webhooks, bulk export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3.18 (new)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AI-assisted execution and action plane: connectors, intents, policies, four-eyes approval with step-up auth, executor, oversight, kill switch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3.21 (new)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Rebalancing and liquidity-timing engine: calendar/band/milestone/need triggers, tax- and cost-aware lot selection respecting lock-ins, exit loads and LTCG dates, solver that dates each move to settle before the cash need, calendar. Addepar and Black Diamond offer rebalancing; none time moves to funding needs with Indian lot constraints.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3.20 (new)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Research assistant and investment proposals: multi-channel ingestion, extraction, clustering, policy-fit assessment, source track record, proposal memos, periodic call-to-action digest → action plane. Copia Wealth Studios tracks deal pipelines; no reference platform ingests recommendations and writes policy-checked proposals.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3.19 (new)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Investment Policy Framework: builder, risk profiling, versioned allocation/limits/guardrails per family/entity/goal, compliance, reviews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3.17 (new)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General ledger: entity books, CoA, auto-posting, immutable journals, periods, reconciliation, statements, ITR mapping, Tally two-way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5.10 / 5.11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Schema for the above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db/006_balance_sheet_analytics.sql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db/007_general_ledger.sql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Tickets</w:t>
            </w:r>
          </w:p>
        </w:tc>
        <w:tc>
          <w:tcPr>
            <w:tcW w:type="dxa" w:w="70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FO-90 to FO-101 (unphased backlog; sequencing notes indicate dependencies)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5. Deliberately not adopted (decisions for the product owner)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~~General ledger~~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reversed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GL included in v1 (PRD 3.17). Partnership tax allocation beyond capital accounts remains v1.1.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~~Bill pay / payment execution~~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reversed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included via the action plane (PRD 3.18) using bank corporate APIs, BBPS and payout partners; the platform never holds funds.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Crypto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separate tax regime and custody model; v2 if demanded.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ESG reporting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no demand signal for Indian single-family use.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White label / multi-family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v2 with advisor mode.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Benchmark   ·  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120"/>
    </w:pPr>
    <w:r>
      <w:rPr>
        <w:rFonts w:ascii="Calibri" w:cs="Calibri" w:eastAsia="Calibri" w:hAnsi="Calibri"/>
        <w:caps/>
        <w:color w:val="5B6472"/>
        <w:sz w:val="16"/>
        <w:szCs w:val="16"/>
      </w:rPr>
      <w:t xml:space="preserve">WealthPrism / Family 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7C6B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0E7C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12213A"/>
      </w:rPr>
    </w:lvl>
    <w:lvl w:ilvl="1" w15:tentative="1">
      <w:start w:val="1"/>
      <w:numFmt w:val="lowerLetter"/>
      <w:lvlText w:val="%2."/>
      <w:lvlJc w:val="left"/>
      <w:pPr>
        <w:ind w:left="760" w:hanging="280"/>
      </w:pPr>
      <w:rPr>
        <w:color w:val="1221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</dc:title>
  <dc:creator>WealthPrism</dc:creator>
  <dc:description>Family Office / WealthPrism — Benchmark</dc:description>
  <cp:lastModifiedBy>Un-named</cp:lastModifiedBy>
  <cp:revision>1</cp:revision>
  <dcterms:created xsi:type="dcterms:W3CDTF">2026-09-15T03:24:03.834Z</dcterms:created>
  <dcterms:modified xsi:type="dcterms:W3CDTF">2026-09-15T03:24:03.834Z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