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12213A"/>
          <w:sz w:val="40"/>
          <w:szCs w:val="40"/>
        </w:rPr>
        <w:t xml:space="preserve">Execution routes — mutual funds and bank payments</w:t>
      </w:r>
    </w:p>
    <w:p>
      <w:pPr>
        <w:spacing w:after="140" w:line="276"/>
      </w:pPr>
      <w:r>
        <w:rPr>
          <w:rFonts w:ascii="Calibri" w:cs="Calibri" w:eastAsia="Calibri" w:hAnsi="Calibri"/>
          <w:color w:val="1A1A1A"/>
          <w:sz w:val="21"/>
          <w:szCs w:val="21"/>
        </w:rPr>
        <w:t xml:space="preserve">Version 1.0 · 11 September 2026 · Resolves PRD section 11, decisions 10 and 11</w:t>
      </w:r>
    </w:p>
    <w:p>
      <w:pPr>
        <w:pStyle w:val="Heading1"/>
        <w:pBdr>
          <w:bottom w:val="single" w:color="0E7C6B" w:sz="4" w:space="6"/>
        </w:pBdr>
        <w:spacing w:after="140" w:before="280"/>
      </w:pPr>
      <w:r>
        <w:rPr>
          <w:rFonts w:ascii="Calibri" w:cs="Calibri" w:eastAsia="Calibri" w:hAnsi="Calibri"/>
          <w:b/>
          <w:bCs/>
          <w:color w:val="12213A"/>
          <w:sz w:val="28"/>
          <w:szCs w:val="28"/>
        </w:rPr>
        <w:t xml:space="preserve">1. Mutual fund execution</w:t>
      </w:r>
    </w:p>
    <w:p>
      <w:pPr>
        <w:pStyle w:val="Heading2"/>
        <w:spacing w:after="140" w:before="220"/>
      </w:pPr>
      <w:r>
        <w:rPr>
          <w:rFonts w:ascii="Calibri" w:cs="Calibri" w:eastAsia="Calibri" w:hAnsi="Calibri"/>
          <w:b/>
          <w:bCs/>
          <w:color w:val="12213A"/>
          <w:sz w:val="24"/>
          <w:szCs w:val="24"/>
        </w:rPr>
        <w:t xml:space="preserve">What is not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16"/>
        <w:gridCol w:w="2093"/>
        <w:gridCol w:w="4651"/>
      </w:tblGrid>
      <w:tr>
        <w:trPr>
          <w:tblHeader/>
        </w:trPr>
        <w:tc>
          <w:tcPr>
            <w:tcW w:type="dxa" w:w="2616"/>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20"/>
                <w:szCs w:val="20"/>
              </w:rPr>
              <w:t xml:space="preserve">Route</w:t>
            </w:r>
          </w:p>
        </w:tc>
        <w:tc>
          <w:tcPr>
            <w:tcW w:type="dxa" w:w="2093"/>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20"/>
                <w:szCs w:val="20"/>
              </w:rPr>
              <w:t xml:space="preserve">Status</w:t>
            </w:r>
          </w:p>
        </w:tc>
        <w:tc>
          <w:tcPr>
            <w:tcW w:type="dxa" w:w="4651"/>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20"/>
                <w:szCs w:val="20"/>
              </w:rPr>
              <w:t xml:space="preserve">Why</w:t>
            </w:r>
          </w:p>
        </w:tc>
      </w:tr>
      <w:tr>
        <w:trPr>
          <w:tblHeader w:val="false"/>
        </w:trPr>
        <w:tc>
          <w:tcPr>
            <w:tcW w:type="dxa" w:w="2616"/>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Zerodha Kite Connect MF API</w:t>
            </w:r>
          </w:p>
        </w:tc>
        <w:tc>
          <w:tcPr>
            <w:tcW w:type="dxa" w:w="2093"/>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bCs/>
                <w:color w:val="1A1A1A"/>
                <w:sz w:val="20"/>
                <w:szCs w:val="20"/>
              </w:rPr>
              <w:t xml:space="preserve">Read-only</w:t>
            </w:r>
          </w:p>
        </w:tc>
        <w:tc>
          <w:tcPr>
            <w:tcW w:type="dxa" w:w="4651"/>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Kite's MF endpoints are GET only (orders, SIPs, holdings, instrument master). Zerodha removed order placement because a purchase needs a debit from the investor's bank account. No sandbox either.</w:t>
            </w:r>
          </w:p>
        </w:tc>
      </w:tr>
      <w:tr>
        <w:trPr>
          <w:tblHeader w:val="false"/>
        </w:trPr>
        <w:tc>
          <w:tcPr>
            <w:tcW w:type="dxa" w:w="2616"/>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Upstox / Angel One / Dhan / ICICI Direct APIs</w:t>
            </w:r>
          </w:p>
        </w:tc>
        <w:tc>
          <w:tcPr>
            <w:tcW w:type="dxa" w:w="2093"/>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No MF order placement</w:t>
            </w:r>
          </w:p>
        </w:tc>
        <w:tc>
          <w:tcPr>
            <w:tcW w:type="dxa" w:w="4651"/>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Equity/derivative APIs only.</w:t>
            </w:r>
          </w:p>
        </w:tc>
      </w:tr>
      <w:tr>
        <w:trPr>
          <w:tblHeader w:val="false"/>
        </w:trPr>
        <w:tc>
          <w:tcPr>
            <w:tcW w:type="dxa" w:w="2616"/>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MF Central</w:t>
            </w:r>
          </w:p>
        </w:tc>
        <w:tc>
          <w:tcPr>
            <w:tcW w:type="dxa" w:w="2093"/>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No transaction API for third parties</w:t>
            </w:r>
          </w:p>
        </w:tc>
        <w:tc>
          <w:tcPr>
            <w:tcW w:type="dxa" w:w="4651"/>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Investor portal; CAS/statement retrieval only.</w:t>
            </w:r>
          </w:p>
        </w:tc>
      </w:tr>
      <w:tr>
        <w:trPr>
          <w:tblHeader w:val="false"/>
        </w:trPr>
        <w:tc>
          <w:tcPr>
            <w:tcW w:type="dxa" w:w="2616"/>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AMC websites</w:t>
            </w:r>
          </w:p>
        </w:tc>
        <w:tc>
          <w:tcPr>
            <w:tcW w:type="dxa" w:w="2093"/>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No APIs</w:t>
            </w:r>
          </w:p>
        </w:tc>
        <w:tc>
          <w:tcPr>
            <w:tcW w:type="dxa" w:w="4651"/>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w:t>
            </w:r>
          </w:p>
        </w:tc>
      </w:tr>
    </w:tbl>
    <w:p>
      <w:pPr>
        <w:spacing w:after="180"/>
      </w:pPr>
    </w:p>
    <w:p>
      <w:pPr>
        <w:spacing w:after="140" w:line="276"/>
      </w:pPr>
      <w:r>
        <w:rPr>
          <w:rFonts w:ascii="Calibri" w:cs="Calibri" w:eastAsia="Calibri" w:hAnsi="Calibri"/>
          <w:color w:val="1A1A1A"/>
          <w:sz w:val="21"/>
          <w:szCs w:val="21"/>
        </w:rPr>
        <w:t xml:space="preserve">Consequence: the PRD's "Kite MF orders" route is withdrawn. MF purchases, redemptions, switches and SIP mandates through the platform require an </w:t>
      </w:r>
      <w:r>
        <w:rPr>
          <w:rFonts w:ascii="Calibri" w:cs="Calibri" w:eastAsia="Calibri" w:hAnsi="Calibri"/>
          <w:b/>
          <w:bCs/>
          <w:color w:val="1A1A1A"/>
          <w:sz w:val="21"/>
          <w:szCs w:val="21"/>
        </w:rPr>
        <w:t xml:space="preserve">exchange MF platform code</w:t>
      </w:r>
      <w:r>
        <w:rPr>
          <w:rFonts w:ascii="Calibri" w:cs="Calibri" w:eastAsia="Calibri" w:hAnsi="Calibri"/>
          <w:color w:val="1A1A1A"/>
          <w:sz w:val="21"/>
          <w:szCs w:val="21"/>
        </w:rPr>
        <w:t xml:space="preserve"> — or they stay </w:t>
      </w:r>
      <w:r>
        <w:rPr>
          <w:rFonts w:ascii="Calibri" w:cs="Calibri" w:eastAsia="Calibri" w:hAnsi="Calibri"/>
          <w:i/>
          <w:iCs/>
          <w:color w:val="1A1A1A"/>
          <w:sz w:val="21"/>
          <w:szCs w:val="21"/>
        </w:rPr>
        <w:t xml:space="preserve">assisted</w:t>
      </w:r>
      <w:r>
        <w:rPr>
          <w:rFonts w:ascii="Calibri" w:cs="Calibri" w:eastAsia="Calibri" w:hAnsi="Calibri"/>
          <w:color w:val="1A1A1A"/>
          <w:sz w:val="21"/>
          <w:szCs w:val="21"/>
        </w:rPr>
        <w:t xml:space="preserve"> (pre-filled instruction, human completes on Coin / MF Central / AMC site).</w:t>
      </w:r>
    </w:p>
    <w:p>
      <w:pPr>
        <w:pStyle w:val="Heading2"/>
        <w:spacing w:after="140" w:before="220"/>
      </w:pPr>
      <w:r>
        <w:rPr>
          <w:rFonts w:ascii="Calibri" w:cs="Calibri" w:eastAsia="Calibri" w:hAnsi="Calibri"/>
          <w:b/>
          <w:bCs/>
          <w:color w:val="12213A"/>
          <w:sz w:val="24"/>
          <w:szCs w:val="24"/>
        </w:rPr>
        <w:t xml:space="preserve">What is available</w:t>
      </w:r>
    </w:p>
    <w:p>
      <w:pPr>
        <w:spacing w:after="140" w:line="276"/>
      </w:pPr>
      <w:r>
        <w:rPr>
          <w:rFonts w:ascii="Calibri" w:cs="Calibri" w:eastAsia="Calibri" w:hAnsi="Calibri"/>
          <w:b/>
          <w:bCs/>
          <w:color w:val="1A1A1A"/>
          <w:sz w:val="21"/>
          <w:szCs w:val="21"/>
        </w:rPr>
        <w:t xml:space="preserve">BSE StAR MF</w:t>
      </w:r>
      <w:r>
        <w:rPr>
          <w:rFonts w:ascii="Calibri" w:cs="Calibri" w:eastAsia="Calibri" w:hAnsi="Calibri"/>
          <w:color w:val="1A1A1A"/>
          <w:sz w:val="21"/>
          <w:szCs w:val="21"/>
        </w:rPr>
        <w:t xml:space="preserve"> (also NSE NMF II and MF Utilities) is the industry order-routing platform. Access requires the transacting intermediary to be one 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64"/>
        <w:gridCol w:w="2479"/>
        <w:gridCol w:w="1364"/>
        <w:gridCol w:w="1674"/>
        <w:gridCol w:w="2479"/>
      </w:tblGrid>
      <w:tr>
        <w:trPr>
          <w:tblHeader/>
        </w:trPr>
        <w:tc>
          <w:tcPr>
            <w:tcW w:type="dxa" w:w="1364"/>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18"/>
                <w:szCs w:val="18"/>
              </w:rPr>
              <w:t xml:space="preserve">Registration</w:t>
            </w:r>
          </w:p>
        </w:tc>
        <w:tc>
          <w:tcPr>
            <w:tcW w:type="dxa" w:w="2479"/>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18"/>
                <w:szCs w:val="18"/>
              </w:rPr>
              <w:t xml:space="preserve">Who can hold it</w:t>
            </w:r>
          </w:p>
        </w:tc>
        <w:tc>
          <w:tcPr>
            <w:tcW w:type="dxa" w:w="1364"/>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18"/>
                <w:szCs w:val="18"/>
              </w:rPr>
              <w:t xml:space="preserve">Plans transacted</w:t>
            </w:r>
          </w:p>
        </w:tc>
        <w:tc>
          <w:tcPr>
            <w:tcW w:type="dxa" w:w="1674"/>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18"/>
                <w:szCs w:val="18"/>
              </w:rPr>
              <w:t xml:space="preserve">Getting it</w:t>
            </w:r>
          </w:p>
        </w:tc>
        <w:tc>
          <w:tcPr>
            <w:tcW w:type="dxa" w:w="2479"/>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18"/>
                <w:szCs w:val="18"/>
              </w:rPr>
              <w:t xml:space="preserve">Cost / effort</w:t>
            </w:r>
          </w:p>
        </w:tc>
      </w:tr>
      <w:tr>
        <w:trPr>
          <w:tblHeader w:val="false"/>
        </w:trPr>
        <w:tc>
          <w:tcPr>
            <w:tcW w:type="dxa" w:w="1364"/>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bCs/>
                <w:color w:val="1A1A1A"/>
                <w:sz w:val="18"/>
                <w:szCs w:val="18"/>
              </w:rPr>
              <w:t xml:space="preserve">SEBI Registered Investment Adviser (RIA)</w:t>
            </w:r>
          </w:p>
        </w:tc>
        <w:tc>
          <w:tcPr>
            <w:tcW w:type="dxa" w:w="2479"/>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18"/>
                <w:szCs w:val="18"/>
              </w:rPr>
              <w:t xml:space="preserve">Individual (NISM X-A/X-B, graduate + 5 yrs experience) or corporate/LLP (principal officer qualified; net worth / deposit norms)</w:t>
            </w:r>
          </w:p>
        </w:tc>
        <w:tc>
          <w:tcPr>
            <w:tcW w:type="dxa" w:w="1364"/>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bCs/>
                <w:color w:val="1A1A1A"/>
                <w:sz w:val="18"/>
                <w:szCs w:val="18"/>
              </w:rPr>
              <w:t xml:space="preserve">Direct plans</w:t>
            </w:r>
            <w:r>
              <w:rPr>
                <w:rFonts w:ascii="Calibri" w:cs="Calibri" w:eastAsia="Calibri" w:hAnsi="Calibri"/>
                <w:b w:val="false"/>
                <w:bCs w:val="false"/>
                <w:color w:val="1A1A1A"/>
                <w:sz w:val="18"/>
                <w:szCs w:val="18"/>
              </w:rPr>
              <w:t xml:space="preserve"> (no commission, lowest TER)</w:t>
            </w:r>
          </w:p>
        </w:tc>
        <w:tc>
          <w:tcPr>
            <w:tcW w:type="dxa" w:w="1674"/>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18"/>
                <w:szCs w:val="18"/>
              </w:rPr>
              <w:t xml:space="preserve">SEBI application via BASL; 3–6 months</w:t>
            </w:r>
          </w:p>
        </w:tc>
        <w:tc>
          <w:tcPr>
            <w:tcW w:type="dxa" w:w="2479"/>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18"/>
                <w:szCs w:val="18"/>
              </w:rPr>
              <w:t xml:space="preserve">₹1–3 L set-up incl. BASL membership, deposit, compliance; annual compliance audit</w:t>
            </w:r>
          </w:p>
        </w:tc>
      </w:tr>
      <w:tr>
        <w:trPr>
          <w:tblHeader w:val="false"/>
        </w:trPr>
        <w:tc>
          <w:tcPr>
            <w:tcW w:type="dxa" w:w="1364"/>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bCs/>
                <w:color w:val="1A1A1A"/>
                <w:sz w:val="18"/>
                <w:szCs w:val="18"/>
              </w:rPr>
              <w:t xml:space="preserve">AMFI Mutual Fund Distributor (ARN)</w:t>
            </w:r>
          </w:p>
        </w:tc>
        <w:tc>
          <w:tcPr>
            <w:tcW w:type="dxa" w:w="2479"/>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18"/>
                <w:szCs w:val="18"/>
              </w:rPr>
              <w:t xml:space="preserve">Individual (NISM V-A) or company/LLP (EUIN holders); HUF cannot hold an ARN</w:t>
            </w:r>
          </w:p>
        </w:tc>
        <w:tc>
          <w:tcPr>
            <w:tcW w:type="dxa" w:w="1364"/>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bCs/>
                <w:color w:val="1A1A1A"/>
                <w:sz w:val="18"/>
                <w:szCs w:val="18"/>
              </w:rPr>
              <w:t xml:space="preserve">Regular plans</w:t>
            </w:r>
            <w:r>
              <w:rPr>
                <w:rFonts w:ascii="Calibri" w:cs="Calibri" w:eastAsia="Calibri" w:hAnsi="Calibri"/>
                <w:b w:val="false"/>
                <w:bCs w:val="false"/>
                <w:color w:val="1A1A1A"/>
                <w:sz w:val="18"/>
                <w:szCs w:val="18"/>
              </w:rPr>
              <w:t xml:space="preserve"> (distributor earns trail)</w:t>
            </w:r>
          </w:p>
        </w:tc>
        <w:tc>
          <w:tcPr>
            <w:tcW w:type="dxa" w:w="1674"/>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18"/>
                <w:szCs w:val="18"/>
              </w:rPr>
              <w:t xml:space="preserve">NISM exam + AMFI registration; 4–8 weeks</w:t>
            </w:r>
          </w:p>
        </w:tc>
        <w:tc>
          <w:tcPr>
            <w:tcW w:type="dxa" w:w="2479"/>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18"/>
                <w:szCs w:val="18"/>
              </w:rPr>
              <w:t xml:space="preserve">~₹15–25 K; trivial compliance</w:t>
            </w:r>
          </w:p>
        </w:tc>
      </w:tr>
      <w:tr>
        <w:trPr>
          <w:tblHeader w:val="false"/>
        </w:trPr>
        <w:tc>
          <w:tcPr>
            <w:tcW w:type="dxa" w:w="1364"/>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bCs/>
                <w:color w:val="1A1A1A"/>
                <w:sz w:val="18"/>
                <w:szCs w:val="18"/>
              </w:rPr>
              <w:t xml:space="preserve">Existing RIA/MFD's code via API partner</w:t>
            </w:r>
          </w:p>
        </w:tc>
        <w:tc>
          <w:tcPr>
            <w:tcW w:type="dxa" w:w="2479"/>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18"/>
                <w:szCs w:val="18"/>
              </w:rPr>
              <w:t xml:space="preserve">Family becomes a client of a friendly RIA</w:t>
            </w:r>
          </w:p>
        </w:tc>
        <w:tc>
          <w:tcPr>
            <w:tcW w:type="dxa" w:w="1364"/>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18"/>
                <w:szCs w:val="18"/>
              </w:rPr>
              <w:t xml:space="preserve">Direct (RIA) or regular (MFD)</w:t>
            </w:r>
          </w:p>
        </w:tc>
        <w:tc>
          <w:tcPr>
            <w:tcW w:type="dxa" w:w="1674"/>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18"/>
                <w:szCs w:val="18"/>
              </w:rPr>
              <w:t xml:space="preserve">Agreement + client onboarding on their BSE code; weeks</w:t>
            </w:r>
          </w:p>
        </w:tc>
        <w:tc>
          <w:tcPr>
            <w:tcW w:type="dxa" w:w="2479"/>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18"/>
                <w:szCs w:val="18"/>
              </w:rPr>
              <w:t xml:space="preserve">Advisory fee</w:t>
            </w:r>
          </w:p>
        </w:tc>
      </w:tr>
    </w:tbl>
    <w:p>
      <w:pPr>
        <w:spacing w:after="180"/>
      </w:pPr>
    </w:p>
    <w:p>
      <w:pPr>
        <w:spacing w:after="140" w:line="276"/>
      </w:pPr>
      <w:r>
        <w:rPr>
          <w:rFonts w:ascii="Calibri" w:cs="Calibri" w:eastAsia="Calibri" w:hAnsi="Calibri"/>
          <w:b/>
          <w:bCs/>
          <w:color w:val="1A1A1A"/>
          <w:sz w:val="21"/>
          <w:szCs w:val="21"/>
        </w:rPr>
        <w:t xml:space="preserve">API layer options over BSE StAR MF</w:t>
      </w:r>
    </w:p>
    <w:p>
      <w:pPr>
        <w:pStyle w:val="ListParagraph"/>
        <w:numPr>
          <w:ilvl w:val="0"/>
          <w:numId w:val="2"/>
        </w:numPr>
        <w:spacing w:after="110" w:line="276"/>
      </w:pPr>
      <w:r>
        <w:rPr>
          <w:rFonts w:ascii="Calibri" w:cs="Calibri" w:eastAsia="Calibri" w:hAnsi="Calibri"/>
          <w:b/>
          <w:bCs/>
          <w:color w:val="1A1A1A"/>
          <w:sz w:val="21"/>
          <w:szCs w:val="21"/>
        </w:rPr>
        <w:t xml:space="preserve">Direct BSE StAR MF web services</w:t>
      </w:r>
      <w:r>
        <w:rPr>
          <w:rFonts w:ascii="Calibri" w:cs="Calibri" w:eastAsia="Calibri" w:hAnsi="Calibri"/>
          <w:color w:val="1A1A1A"/>
          <w:sz w:val="21"/>
          <w:szCs w:val="21"/>
        </w:rPr>
        <w:t xml:space="preserve"> — SOAP 1.2, member web-service ID + password + pass-key per session, test market credentials on request, order entry / SIP / mandate / additional services; payment via e-mandate (NACH), net-banking link or UPI per order. Heavy but free.</w:t>
      </w:r>
    </w:p>
    <w:p>
      <w:pPr>
        <w:pStyle w:val="ListParagraph"/>
        <w:numPr>
          <w:ilvl w:val="0"/>
          <w:numId w:val="2"/>
        </w:numPr>
        <w:spacing w:after="110" w:line="276"/>
      </w:pPr>
      <w:r>
        <w:rPr>
          <w:rFonts w:ascii="Calibri" w:cs="Calibri" w:eastAsia="Calibri" w:hAnsi="Calibri"/>
          <w:b/>
          <w:bCs/>
          <w:color w:val="1A1A1A"/>
          <w:sz w:val="21"/>
          <w:szCs w:val="21"/>
        </w:rPr>
        <w:t xml:space="preserve">Cybrilla Fintech Primitives</w:t>
      </w:r>
      <w:r>
        <w:rPr>
          <w:rFonts w:ascii="Calibri" w:cs="Calibri" w:eastAsia="Calibri" w:hAnsi="Calibri"/>
          <w:color w:val="1A1A1A"/>
          <w:sz w:val="21"/>
          <w:szCs w:val="21"/>
        </w:rPr>
        <w:t xml:space="preserve"> — REST wrapper over BSE with KYC, mandates, orders, folios, reconciliation; you still need your own ARN/RIA code, which they onboard as a tenant. Paid; fastest to build on.</w:t>
      </w:r>
    </w:p>
    <w:p>
      <w:pPr>
        <w:pStyle w:val="ListParagraph"/>
        <w:numPr>
          <w:ilvl w:val="0"/>
          <w:numId w:val="2"/>
        </w:numPr>
        <w:spacing w:after="110" w:line="276"/>
      </w:pPr>
      <w:r>
        <w:rPr>
          <w:rFonts w:ascii="Calibri" w:cs="Calibri" w:eastAsia="Calibri" w:hAnsi="Calibri"/>
          <w:b/>
          <w:bCs/>
          <w:color w:val="1A1A1A"/>
          <w:sz w:val="21"/>
          <w:szCs w:val="21"/>
        </w:rPr>
        <w:t xml:space="preserve">MF Utilities (MFU)</w:t>
      </w:r>
      <w:r>
        <w:rPr>
          <w:rFonts w:ascii="Calibri" w:cs="Calibri" w:eastAsia="Calibri" w:hAnsi="Calibri"/>
          <w:color w:val="1A1A1A"/>
          <w:sz w:val="21"/>
          <w:szCs w:val="21"/>
        </w:rPr>
        <w:t xml:space="preserve"> — alternative platform with its own API; common with RIAs; direct plans supported.</w:t>
      </w:r>
    </w:p>
    <w:p>
      <w:pPr>
        <w:spacing w:after="140" w:line="276"/>
      </w:pPr>
      <w:r>
        <w:rPr>
          <w:rFonts w:ascii="Calibri" w:cs="Calibri" w:eastAsia="Calibri" w:hAnsi="Calibri"/>
          <w:b/>
          <w:bCs/>
          <w:color w:val="1A1A1A"/>
          <w:sz w:val="21"/>
          <w:szCs w:val="21"/>
        </w:rPr>
        <w:t xml:space="preserve">Funding the purchase without a human at the bank.</w:t>
      </w:r>
      <w:r>
        <w:rPr>
          <w:rFonts w:ascii="Calibri" w:cs="Calibri" w:eastAsia="Calibri" w:hAnsi="Calibri"/>
          <w:color w:val="1A1A1A"/>
          <w:sz w:val="21"/>
          <w:szCs w:val="21"/>
        </w:rPr>
        <w:t xml:space="preserve"> Register a </w:t>
      </w:r>
      <w:r>
        <w:rPr>
          <w:rFonts w:ascii="Calibri" w:cs="Calibri" w:eastAsia="Calibri" w:hAnsi="Calibri"/>
          <w:b/>
          <w:bCs/>
          <w:color w:val="1A1A1A"/>
          <w:sz w:val="21"/>
          <w:szCs w:val="21"/>
        </w:rPr>
        <w:t xml:space="preserve">NACH e-mandate</w:t>
      </w:r>
      <w:r>
        <w:rPr>
          <w:rFonts w:ascii="Calibri" w:cs="Calibri" w:eastAsia="Calibri" w:hAnsi="Calibri"/>
          <w:color w:val="1A1A1A"/>
          <w:sz w:val="21"/>
          <w:szCs w:val="21"/>
        </w:rPr>
        <w:t xml:space="preserve"> per investor (Arjun, Spouse; HUF via its current account) in favour of BSE StAR MF, once. Lump-sum purchases and SIPs then draw against the mandate up to its limit, so an approved intent completes end to end with no net-banking step. Mandate limits are set at registration (commonly up to ₹1 crore/day through e-mandate) — set them at the policy caps.</w:t>
      </w:r>
    </w:p>
    <w:p>
      <w:pPr>
        <w:pStyle w:val="Heading2"/>
        <w:spacing w:after="140" w:before="220"/>
      </w:pPr>
      <w:r>
        <w:rPr>
          <w:rFonts w:ascii="Calibri" w:cs="Calibri" w:eastAsia="Calibri" w:hAnsi="Calibri"/>
          <w:b/>
          <w:bCs/>
          <w:color w:val="12213A"/>
          <w:sz w:val="24"/>
          <w:szCs w:val="24"/>
        </w:rPr>
        <w:t xml:space="preserve">The direct-plan question</w:t>
      </w:r>
    </w:p>
    <w:p>
      <w:pPr>
        <w:spacing w:after="140" w:line="276"/>
      </w:pPr>
      <w:r>
        <w:rPr>
          <w:rFonts w:ascii="Calibri" w:cs="Calibri" w:eastAsia="Calibri" w:hAnsi="Calibri"/>
          <w:color w:val="1A1A1A"/>
          <w:sz w:val="21"/>
          <w:szCs w:val="21"/>
        </w:rPr>
        <w:t xml:space="preserve">An ARN is quick, but a distributor can only route the family into regular plans, whose TER is typically 0.5–1.0 pp higher. On a portfolio of a few crores that exceeds the cost of RIA registration in the first year. Some family offices register an LLP as the distributor and invest their own money in regular plans, taking the trail commission back as LLP income — it neutralises the TER but adds taxable income and a compliance oddity; ask the CA before relying on it.</w:t>
      </w:r>
    </w:p>
    <w:p>
      <w:pPr>
        <w:pStyle w:val="Heading2"/>
        <w:spacing w:after="140" w:before="220"/>
      </w:pPr>
      <w:r>
        <w:rPr>
          <w:rFonts w:ascii="Calibri" w:cs="Calibri" w:eastAsia="Calibri" w:hAnsi="Calibri"/>
          <w:b/>
          <w:bCs/>
          <w:color w:val="12213A"/>
          <w:sz w:val="24"/>
          <w:szCs w:val="24"/>
        </w:rPr>
        <w:t xml:space="preserve">Recommendation</w:t>
      </w:r>
    </w:p>
    <w:p>
      <w:pPr>
        <w:pStyle w:val="ListParagraph"/>
        <w:numPr>
          <w:ilvl w:val="0"/>
          <w:numId w:val="3"/>
        </w:numPr>
        <w:spacing w:after="110" w:line="276"/>
      </w:pPr>
      <w:r>
        <w:rPr>
          <w:rFonts w:ascii="Calibri" w:cs="Calibri" w:eastAsia="Calibri" w:hAnsi="Calibri"/>
          <w:b/>
          <w:bCs/>
          <w:color w:val="1A1A1A"/>
          <w:sz w:val="21"/>
          <w:szCs w:val="21"/>
        </w:rPr>
        <w:t xml:space="preserve">Now:</w:t>
      </w:r>
      <w:r>
        <w:rPr>
          <w:rFonts w:ascii="Calibri" w:cs="Calibri" w:eastAsia="Calibri" w:hAnsi="Calibri"/>
          <w:color w:val="1A1A1A"/>
          <w:sz w:val="21"/>
          <w:szCs w:val="21"/>
        </w:rPr>
        <w:t xml:space="preserve"> MF kinds run as </w:t>
      </w:r>
      <w:r>
        <w:rPr>
          <w:rFonts w:ascii="Calibri" w:cs="Calibri" w:eastAsia="Calibri" w:hAnsi="Calibri"/>
          <w:i/>
          <w:iCs/>
          <w:color w:val="1A1A1A"/>
          <w:sz w:val="21"/>
          <w:szCs w:val="21"/>
        </w:rPr>
        <w:t xml:space="preserve">assisted</w:t>
      </w:r>
      <w:r>
        <w:rPr>
          <w:rFonts w:ascii="Calibri" w:cs="Calibri" w:eastAsia="Calibri" w:hAnsi="Calibri"/>
          <w:color w:val="1A1A1A"/>
          <w:sz w:val="21"/>
          <w:szCs w:val="21"/>
        </w:rPr>
        <w:t xml:space="preserve"> intents (pre-filled ISIN, amount, folio; human completes on Coin or MF Central; the platform reconciles from CAS). Zero registration; keeps momentum.</w:t>
      </w:r>
    </w:p>
    <w:p>
      <w:pPr>
        <w:pStyle w:val="ListParagraph"/>
        <w:numPr>
          <w:ilvl w:val="0"/>
          <w:numId w:val="3"/>
        </w:numPr>
        <w:spacing w:after="110" w:line="276"/>
      </w:pPr>
      <w:r>
        <w:rPr>
          <w:rFonts w:ascii="Calibri" w:cs="Calibri" w:eastAsia="Calibri" w:hAnsi="Calibri"/>
          <w:b/>
          <w:bCs/>
          <w:color w:val="1A1A1A"/>
          <w:sz w:val="21"/>
          <w:szCs w:val="21"/>
        </w:rPr>
        <w:t xml:space="preserve">Start immediately:</w:t>
      </w:r>
      <w:r>
        <w:rPr>
          <w:rFonts w:ascii="Calibri" w:cs="Calibri" w:eastAsia="Calibri" w:hAnsi="Calibri"/>
          <w:color w:val="1A1A1A"/>
          <w:sz w:val="21"/>
          <w:szCs w:val="21"/>
        </w:rPr>
        <w:t xml:space="preserve"> RIA registration for a family LLP/company (or the family's existing adviser's RIA code if one exists). Target: direct plans via BSE StAR MF with NACH mandates, using Cybrilla FP to cut integration time; fall back to raw SOAP if the vendor cost is unacceptable.</w:t>
      </w:r>
    </w:p>
    <w:p>
      <w:pPr>
        <w:pStyle w:val="ListParagraph"/>
        <w:numPr>
          <w:ilvl w:val="0"/>
          <w:numId w:val="3"/>
        </w:numPr>
        <w:spacing w:after="110" w:line="276"/>
      </w:pPr>
      <w:r>
        <w:rPr>
          <w:rFonts w:ascii="Calibri" w:cs="Calibri" w:eastAsia="Calibri" w:hAnsi="Calibri"/>
          <w:b/>
          <w:bCs/>
          <w:color w:val="1A1A1A"/>
          <w:sz w:val="21"/>
          <w:szCs w:val="21"/>
        </w:rPr>
        <w:t xml:space="preserve">Kite Connect</w:t>
      </w:r>
      <w:r>
        <w:rPr>
          <w:rFonts w:ascii="Calibri" w:cs="Calibri" w:eastAsia="Calibri" w:hAnsi="Calibri"/>
          <w:color w:val="1A1A1A"/>
          <w:sz w:val="21"/>
          <w:szCs w:val="21"/>
        </w:rPr>
        <w:t xml:space="preserve"> stays for equity/ETF/REIT/SGB orders and for MF </w:t>
      </w:r>
      <w:r>
        <w:rPr>
          <w:rFonts w:ascii="Calibri" w:cs="Calibri" w:eastAsia="Calibri" w:hAnsi="Calibri"/>
          <w:i/>
          <w:iCs/>
          <w:color w:val="1A1A1A"/>
          <w:sz w:val="21"/>
          <w:szCs w:val="21"/>
        </w:rPr>
        <w:t xml:space="preserve">read</w:t>
      </w:r>
      <w:r>
        <w:rPr>
          <w:rFonts w:ascii="Calibri" w:cs="Calibri" w:eastAsia="Calibri" w:hAnsi="Calibri"/>
          <w:color w:val="1A1A1A"/>
          <w:sz w:val="21"/>
          <w:szCs w:val="21"/>
        </w:rPr>
        <w:t xml:space="preserve"> (holdings, SIP status) as a second reconciliation source.</w:t>
      </w:r>
    </w:p>
    <w:p>
      <w:pPr>
        <w:pStyle w:val="Heading1"/>
        <w:pBdr>
          <w:bottom w:val="single" w:color="0E7C6B" w:sz="4" w:space="6"/>
        </w:pBdr>
        <w:spacing w:after="140" w:before="280"/>
      </w:pPr>
      <w:r>
        <w:rPr>
          <w:rFonts w:ascii="Calibri" w:cs="Calibri" w:eastAsia="Calibri" w:hAnsi="Calibri"/>
          <w:b/>
          <w:bCs/>
          <w:color w:val="12213A"/>
          <w:sz w:val="28"/>
          <w:szCs w:val="28"/>
        </w:rPr>
        <w:t xml:space="preserve">2. Bank payment execution</w:t>
      </w:r>
    </w:p>
    <w:p>
      <w:pPr>
        <w:pStyle w:val="Heading2"/>
        <w:spacing w:after="140" w:before="220"/>
      </w:pPr>
      <w:r>
        <w:rPr>
          <w:rFonts w:ascii="Calibri" w:cs="Calibri" w:eastAsia="Calibri" w:hAnsi="Calibri"/>
          <w:b/>
          <w:bCs/>
          <w:color w:val="12213A"/>
          <w:sz w:val="24"/>
          <w:szCs w:val="24"/>
        </w:rPr>
        <w:t xml:space="preserve">What is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134"/>
        <w:gridCol w:w="1991"/>
        <w:gridCol w:w="2439"/>
        <w:gridCol w:w="1860"/>
      </w:tblGrid>
      <w:tr>
        <w:trPr>
          <w:tblHeader/>
        </w:trPr>
        <w:tc>
          <w:tcPr>
            <w:tcW w:type="dxa" w:w="936"/>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18"/>
                <w:szCs w:val="18"/>
              </w:rPr>
              <w:t xml:space="preserve">Bank</w:t>
            </w:r>
          </w:p>
        </w:tc>
        <w:tc>
          <w:tcPr>
            <w:tcW w:type="dxa" w:w="2134"/>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18"/>
                <w:szCs w:val="18"/>
              </w:rPr>
              <w:t xml:space="preserve">Product</w:t>
            </w:r>
          </w:p>
        </w:tc>
        <w:tc>
          <w:tcPr>
            <w:tcW w:type="dxa" w:w="1991"/>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18"/>
                <w:szCs w:val="18"/>
              </w:rPr>
              <w:t xml:space="preserve">Payment modes</w:t>
            </w:r>
          </w:p>
        </w:tc>
        <w:tc>
          <w:tcPr>
            <w:tcW w:type="dxa" w:w="2439"/>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18"/>
                <w:szCs w:val="18"/>
              </w:rPr>
              <w:t xml:space="preserve">Auth model</w:t>
            </w:r>
          </w:p>
        </w:tc>
        <w:tc>
          <w:tcPr>
            <w:tcW w:type="dxa" w:w="1860"/>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18"/>
                <w:szCs w:val="18"/>
              </w:rPr>
              <w:t xml:space="preserve">Notes</w:t>
            </w:r>
          </w:p>
        </w:tc>
      </w:tr>
      <w:tr>
        <w:trPr>
          <w:tblHeader w:val="false"/>
        </w:trPr>
        <w:tc>
          <w:tcPr>
            <w:tcW w:type="dxa" w:w="936"/>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18"/>
                <w:szCs w:val="18"/>
              </w:rPr>
              <w:t xml:space="preserve">ICICI Bank</w:t>
            </w:r>
          </w:p>
        </w:tc>
        <w:tc>
          <w:tcPr>
            <w:tcW w:type="dxa" w:w="2134"/>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18"/>
                <w:szCs w:val="18"/>
              </w:rPr>
              <w:t xml:space="preserve">Corporate API Suite / CIB APIs (developer portal, sandbox, UAT → prod)</w:t>
            </w:r>
          </w:p>
        </w:tc>
        <w:tc>
          <w:tcPr>
            <w:tcW w:type="dxa" w:w="1991"/>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18"/>
                <w:szCs w:val="18"/>
              </w:rPr>
              <w:t xml:space="preserve">NEFT, RTGS, IMPS, UPI, internal transfer; beneficiary registration; transaction status; balance/statement; virtual accounts; e-mandate</w:t>
            </w:r>
          </w:p>
        </w:tc>
        <w:tc>
          <w:tcPr>
            <w:tcW w:type="dxa" w:w="2439"/>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18"/>
                <w:szCs w:val="18"/>
              </w:rPr>
              <w:t xml:space="preserve">API call </w:t>
            </w:r>
            <w:r>
              <w:rPr>
                <w:rFonts w:ascii="Calibri" w:cs="Calibri" w:eastAsia="Calibri" w:hAnsi="Calibri"/>
                <w:b/>
                <w:bCs/>
                <w:color w:val="1A1A1A"/>
                <w:sz w:val="18"/>
                <w:szCs w:val="18"/>
              </w:rPr>
              <w:t xml:space="preserve">with or without portal authorisation</w:t>
            </w:r>
            <w:r>
              <w:rPr>
                <w:rFonts w:ascii="Calibri" w:cs="Calibri" w:eastAsia="Calibri" w:hAnsi="Calibri"/>
                <w:b w:val="false"/>
                <w:bCs w:val="false"/>
                <w:color w:val="1A1A1A"/>
                <w:sz w:val="18"/>
                <w:szCs w:val="18"/>
              </w:rPr>
              <w:t xml:space="preserve"> — i.e. the bank can require a checker to approve in CIB, or accept the API as fully authorised</w:t>
            </w:r>
          </w:p>
        </w:tc>
        <w:tc>
          <w:tcPr>
            <w:tcW w:type="dxa" w:w="186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18"/>
                <w:szCs w:val="18"/>
              </w:rPr>
              <w:t xml:space="preserve">Best-documented; existing corporate customers onboard fastest</w:t>
            </w:r>
          </w:p>
        </w:tc>
      </w:tr>
      <w:tr>
        <w:trPr>
          <w:tblHeader w:val="false"/>
        </w:trPr>
        <w:tc>
          <w:tcPr>
            <w:tcW w:type="dxa" w:w="936"/>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18"/>
                <w:szCs w:val="18"/>
              </w:rPr>
              <w:t xml:space="preserve">HDFC Bank</w:t>
            </w:r>
          </w:p>
        </w:tc>
        <w:tc>
          <w:tcPr>
            <w:tcW w:type="dxa" w:w="2134"/>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18"/>
                <w:szCs w:val="18"/>
              </w:rPr>
              <w:t xml:space="preserve">Corporate API banking (ENet)</w:t>
            </w:r>
          </w:p>
        </w:tc>
        <w:tc>
          <w:tcPr>
            <w:tcW w:type="dxa" w:w="1991"/>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18"/>
                <w:szCs w:val="18"/>
              </w:rPr>
              <w:t xml:space="preserve">NEFT, RTGS, IMPS, A2A; single with/without portal authorisation; bulk NEFT with single OTP</w:t>
            </w:r>
          </w:p>
        </w:tc>
        <w:tc>
          <w:tcPr>
            <w:tcW w:type="dxa" w:w="2439"/>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18"/>
                <w:szCs w:val="18"/>
              </w:rPr>
              <w:t xml:space="preserve">Signature validation / JOSE</w:t>
            </w:r>
          </w:p>
        </w:tc>
        <w:tc>
          <w:tcPr>
            <w:tcW w:type="dxa" w:w="186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18"/>
                <w:szCs w:val="18"/>
              </w:rPr>
              <w:t xml:space="preserve">Certificate-based</w:t>
            </w:r>
          </w:p>
        </w:tc>
      </w:tr>
      <w:tr>
        <w:trPr>
          <w:tblHeader w:val="false"/>
        </w:trPr>
        <w:tc>
          <w:tcPr>
            <w:tcW w:type="dxa" w:w="936"/>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18"/>
                <w:szCs w:val="18"/>
              </w:rPr>
              <w:t xml:space="preserve">Axis Bank</w:t>
            </w:r>
          </w:p>
        </w:tc>
        <w:tc>
          <w:tcPr>
            <w:tcW w:type="dxa" w:w="2134"/>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18"/>
                <w:szCs w:val="18"/>
              </w:rPr>
              <w:t xml:space="preserve">API Banking</w:t>
            </w:r>
          </w:p>
        </w:tc>
        <w:tc>
          <w:tcPr>
            <w:tcW w:type="dxa" w:w="1991"/>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18"/>
                <w:szCs w:val="18"/>
              </w:rPr>
              <w:t xml:space="preserve">NEFT, RTGS, IMPS, A2A</w:t>
            </w:r>
          </w:p>
        </w:tc>
        <w:tc>
          <w:tcPr>
            <w:tcW w:type="dxa" w:w="2439"/>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18"/>
                <w:szCs w:val="18"/>
              </w:rPr>
              <w:t xml:space="preserve">AES/RSA + signature</w:t>
            </w:r>
          </w:p>
        </w:tc>
        <w:tc>
          <w:tcPr>
            <w:tcW w:type="dxa" w:w="186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18"/>
                <w:szCs w:val="18"/>
              </w:rPr>
              <w:t xml:space="preserve"/>
            </w:r>
          </w:p>
        </w:tc>
      </w:tr>
      <w:tr>
        <w:trPr>
          <w:tblHeader w:val="false"/>
        </w:trPr>
        <w:tc>
          <w:tcPr>
            <w:tcW w:type="dxa" w:w="936"/>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18"/>
                <w:szCs w:val="18"/>
              </w:rPr>
              <w:t xml:space="preserve">Yes Bank</w:t>
            </w:r>
          </w:p>
        </w:tc>
        <w:tc>
          <w:tcPr>
            <w:tcW w:type="dxa" w:w="2134"/>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18"/>
                <w:szCs w:val="18"/>
              </w:rPr>
              <w:t xml:space="preserve">API Banking</w:t>
            </w:r>
          </w:p>
        </w:tc>
        <w:tc>
          <w:tcPr>
            <w:tcW w:type="dxa" w:w="1991"/>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18"/>
                <w:szCs w:val="18"/>
              </w:rPr>
              <w:t xml:space="preserve">NEFT, RTGS, IMPS, A2A</w:t>
            </w:r>
          </w:p>
        </w:tc>
        <w:tc>
          <w:tcPr>
            <w:tcW w:type="dxa" w:w="2439"/>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18"/>
                <w:szCs w:val="18"/>
              </w:rPr>
              <w:t xml:space="preserve">Signature</w:t>
            </w:r>
          </w:p>
        </w:tc>
        <w:tc>
          <w:tcPr>
            <w:tcW w:type="dxa" w:w="186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18"/>
                <w:szCs w:val="18"/>
              </w:rPr>
              <w:t xml:space="preserve">Historically the most fintech-friendly</w:t>
            </w:r>
          </w:p>
        </w:tc>
      </w:tr>
      <w:tr>
        <w:trPr>
          <w:tblHeader w:val="false"/>
        </w:trPr>
        <w:tc>
          <w:tcPr>
            <w:tcW w:type="dxa" w:w="936"/>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18"/>
                <w:szCs w:val="18"/>
              </w:rPr>
              <w:t xml:space="preserve">Kotak</w:t>
            </w:r>
          </w:p>
        </w:tc>
        <w:tc>
          <w:tcPr>
            <w:tcW w:type="dxa" w:w="2134"/>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18"/>
                <w:szCs w:val="18"/>
              </w:rPr>
              <w:t xml:space="preserve">API Banking</w:t>
            </w:r>
          </w:p>
        </w:tc>
        <w:tc>
          <w:tcPr>
            <w:tcW w:type="dxa" w:w="1991"/>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18"/>
                <w:szCs w:val="18"/>
              </w:rPr>
              <w:t xml:space="preserve">NEFT, RTGS, IMPS, A2A</w:t>
            </w:r>
          </w:p>
        </w:tc>
        <w:tc>
          <w:tcPr>
            <w:tcW w:type="dxa" w:w="2439"/>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18"/>
                <w:szCs w:val="18"/>
              </w:rPr>
              <w:t xml:space="preserve">AES/RSA</w:t>
            </w:r>
          </w:p>
        </w:tc>
        <w:tc>
          <w:tcPr>
            <w:tcW w:type="dxa" w:w="186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18"/>
                <w:szCs w:val="18"/>
              </w:rPr>
              <w:t xml:space="preserve"/>
            </w:r>
          </w:p>
        </w:tc>
      </w:tr>
      <w:tr>
        <w:trPr>
          <w:tblHeader w:val="false"/>
        </w:trPr>
        <w:tc>
          <w:tcPr>
            <w:tcW w:type="dxa" w:w="936"/>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18"/>
                <w:szCs w:val="18"/>
              </w:rPr>
              <w:t xml:space="preserve">SBI, BoB, others</w:t>
            </w:r>
          </w:p>
        </w:tc>
        <w:tc>
          <w:tcPr>
            <w:tcW w:type="dxa" w:w="2134"/>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18"/>
                <w:szCs w:val="18"/>
              </w:rPr>
              <w:t xml:space="preserve">Limited / UAT</w:t>
            </w:r>
          </w:p>
        </w:tc>
        <w:tc>
          <w:tcPr>
            <w:tcW w:type="dxa" w:w="1991"/>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18"/>
                <w:szCs w:val="18"/>
              </w:rPr>
              <w:t xml:space="preserve">—</w:t>
            </w:r>
          </w:p>
        </w:tc>
        <w:tc>
          <w:tcPr>
            <w:tcW w:type="dxa" w:w="2439"/>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18"/>
                <w:szCs w:val="18"/>
              </w:rPr>
              <w:t xml:space="preserve">—</w:t>
            </w:r>
          </w:p>
        </w:tc>
        <w:tc>
          <w:tcPr>
            <w:tcW w:type="dxa" w:w="186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18"/>
                <w:szCs w:val="18"/>
              </w:rPr>
              <w:t xml:space="preserve">Not for v1</w:t>
            </w:r>
          </w:p>
        </w:tc>
      </w:tr>
    </w:tbl>
    <w:p>
      <w:pPr>
        <w:spacing w:after="180"/>
      </w:pPr>
    </w:p>
    <w:p>
      <w:pPr>
        <w:spacing w:after="140" w:line="276"/>
      </w:pPr>
      <w:r>
        <w:rPr>
          <w:rFonts w:ascii="Calibri" w:cs="Calibri" w:eastAsia="Calibri" w:hAnsi="Calibri"/>
          <w:color w:val="1A1A1A"/>
          <w:sz w:val="21"/>
          <w:szCs w:val="21"/>
        </w:rPr>
        <w:t xml:space="preserve">Common requirements: a </w:t>
      </w:r>
      <w:r>
        <w:rPr>
          <w:rFonts w:ascii="Calibri" w:cs="Calibri" w:eastAsia="Calibri" w:hAnsi="Calibri"/>
          <w:b/>
          <w:bCs/>
          <w:color w:val="1A1A1A"/>
          <w:sz w:val="21"/>
          <w:szCs w:val="21"/>
        </w:rPr>
        <w:t xml:space="preserve">current account</w:t>
      </w:r>
      <w:r>
        <w:rPr>
          <w:rFonts w:ascii="Calibri" w:cs="Calibri" w:eastAsia="Calibri" w:hAnsi="Calibri"/>
          <w:color w:val="1A1A1A"/>
          <w:sz w:val="21"/>
          <w:szCs w:val="21"/>
        </w:rPr>
        <w:t xml:space="preserve"> in the entity's name, corporate internet banking with maker/checker set up, a signed API agreement, UAT sign-off, </w:t>
      </w:r>
      <w:r>
        <w:rPr>
          <w:rFonts w:ascii="Calibri" w:cs="Calibri" w:eastAsia="Calibri" w:hAnsi="Calibri"/>
          <w:b/>
          <w:bCs/>
          <w:color w:val="1A1A1A"/>
          <w:sz w:val="21"/>
          <w:szCs w:val="21"/>
        </w:rPr>
        <w:t xml:space="preserve">static IP allow-listing</w:t>
      </w:r>
      <w:r>
        <w:rPr>
          <w:rFonts w:ascii="Calibri" w:cs="Calibri" w:eastAsia="Calibri" w:hAnsi="Calibri"/>
          <w:color w:val="1A1A1A"/>
          <w:sz w:val="21"/>
          <w:szCs w:val="21"/>
        </w:rPr>
        <w:t xml:space="preserve">, client certificates or RSA key pairs, beneficiary pre-registration (often with a cooling period), and per-transaction limits set by the bank.</w:t>
      </w:r>
    </w:p>
    <w:p>
      <w:pPr>
        <w:spacing w:after="140" w:line="276"/>
      </w:pPr>
      <w:r>
        <w:rPr>
          <w:rFonts w:ascii="Calibri" w:cs="Calibri" w:eastAsia="Calibri" w:hAnsi="Calibri"/>
          <w:color w:val="1A1A1A"/>
          <w:sz w:val="21"/>
          <w:szCs w:val="21"/>
        </w:rPr>
        <w:t xml:space="preserve">Aggregators (Decentro, Setu, Zwitch, Signzy) wrap several banks behind one API; payout products (RazorpayX, Cashfree Payouts) give an API-driven current account at a partner bank (RBL/Yes/ICICI) in the entity's name. Both are legitimate routes; both add a counterparty and fees.</w:t>
      </w:r>
    </w:p>
    <w:p>
      <w:pPr>
        <w:pStyle w:val="Heading2"/>
        <w:spacing w:after="140" w:before="220"/>
      </w:pPr>
      <w:r>
        <w:rPr>
          <w:rFonts w:ascii="Calibri" w:cs="Calibri" w:eastAsia="Calibri" w:hAnsi="Calibri"/>
          <w:b/>
          <w:bCs/>
          <w:color w:val="12213A"/>
          <w:sz w:val="24"/>
          <w:szCs w:val="24"/>
        </w:rPr>
        <w:t xml:space="preserve">What is not available</w:t>
      </w:r>
    </w:p>
    <w:p>
      <w:pPr>
        <w:pStyle w:val="ListParagraph"/>
        <w:numPr>
          <w:ilvl w:val="0"/>
          <w:numId w:val="2"/>
        </w:numPr>
        <w:spacing w:after="110" w:line="276"/>
      </w:pPr>
      <w:r>
        <w:rPr>
          <w:rFonts w:ascii="Calibri" w:cs="Calibri" w:eastAsia="Calibri" w:hAnsi="Calibri"/>
          <w:b/>
          <w:bCs/>
          <w:color w:val="1A1A1A"/>
          <w:sz w:val="21"/>
          <w:szCs w:val="21"/>
        </w:rPr>
        <w:t xml:space="preserve">Savings accounts (individuals)</w:t>
      </w:r>
      <w:r>
        <w:rPr>
          <w:rFonts w:ascii="Calibri" w:cs="Calibri" w:eastAsia="Calibri" w:hAnsi="Calibri"/>
          <w:color w:val="1A1A1A"/>
          <w:sz w:val="21"/>
          <w:szCs w:val="21"/>
        </w:rPr>
        <w:t xml:space="preserve"> — no third-party payment-initiation API. Account Aggregator is read-only by design.</w:t>
      </w:r>
    </w:p>
    <w:p>
      <w:pPr>
        <w:pStyle w:val="ListParagraph"/>
        <w:numPr>
          <w:ilvl w:val="0"/>
          <w:numId w:val="2"/>
        </w:numPr>
        <w:spacing w:after="110" w:line="276"/>
      </w:pPr>
      <w:r>
        <w:rPr>
          <w:rFonts w:ascii="Calibri" w:cs="Calibri" w:eastAsia="Calibri" w:hAnsi="Calibri"/>
          <w:color w:val="1A1A1A"/>
          <w:sz w:val="21"/>
          <w:szCs w:val="21"/>
        </w:rPr>
        <w:t xml:space="preserve">Workarounds that keep the individual's money movable by the platform:</w:t>
      </w:r>
    </w:p>
    <w:p>
      <w:pPr>
        <w:pStyle w:val="ListParagraph"/>
        <w:numPr>
          <w:ilvl w:val="1"/>
          <w:numId w:val="2"/>
        </w:numPr>
        <w:spacing w:after="110" w:line="276"/>
      </w:pPr>
      <w:r>
        <w:rPr>
          <w:rFonts w:ascii="Calibri" w:cs="Calibri" w:eastAsia="Calibri" w:hAnsi="Calibri"/>
          <w:b/>
          <w:bCs/>
          <w:color w:val="1A1A1A"/>
          <w:sz w:val="21"/>
          <w:szCs w:val="21"/>
        </w:rPr>
        <w:t xml:space="preserve">UPI intent / deep link</w:t>
      </w:r>
      <w:r>
        <w:rPr>
          <w:rFonts w:ascii="Calibri" w:cs="Calibri" w:eastAsia="Calibri" w:hAnsi="Calibri"/>
          <w:color w:val="1A1A1A"/>
          <w:sz w:val="21"/>
          <w:szCs w:val="21"/>
        </w:rPr>
        <w:t xml:space="preserve"> (assisted): the platform prepares payee + amount + note; the person taps and approves in their UPI app. Fine for bills and small transfers.</w:t>
      </w:r>
    </w:p>
    <w:p>
      <w:pPr>
        <w:pStyle w:val="ListParagraph"/>
        <w:numPr>
          <w:ilvl w:val="1"/>
          <w:numId w:val="2"/>
        </w:numPr>
        <w:spacing w:after="110" w:line="276"/>
      </w:pPr>
      <w:r>
        <w:rPr>
          <w:rFonts w:ascii="Calibri" w:cs="Calibri" w:eastAsia="Calibri" w:hAnsi="Calibri"/>
          <w:b/>
          <w:bCs/>
          <w:color w:val="1A1A1A"/>
          <w:sz w:val="21"/>
          <w:szCs w:val="21"/>
        </w:rPr>
        <w:t xml:space="preserve">NACH e-mandate</w:t>
      </w:r>
      <w:r>
        <w:rPr>
          <w:rFonts w:ascii="Calibri" w:cs="Calibri" w:eastAsia="Calibri" w:hAnsi="Calibri"/>
          <w:color w:val="1A1A1A"/>
          <w:sz w:val="21"/>
          <w:szCs w:val="21"/>
        </w:rPr>
        <w:t xml:space="preserve"> from the savings account to a destination the family controls (e.g. BSE StAR MF for MF purchases, or the family LLP's current account for a sweep) — registered once with net-banking/debit-card authentication, then debits are API-triggered. Moving money to another family entity has gift/loan/clubbing consequences; use it for MF mandates first.</w:t>
      </w:r>
    </w:p>
    <w:p>
      <w:pPr>
        <w:pStyle w:val="ListParagraph"/>
        <w:numPr>
          <w:ilvl w:val="1"/>
          <w:numId w:val="2"/>
        </w:numPr>
        <w:spacing w:after="110" w:line="276"/>
      </w:pPr>
      <w:r>
        <w:rPr>
          <w:rFonts w:ascii="Calibri" w:cs="Calibri" w:eastAsia="Calibri" w:hAnsi="Calibri"/>
          <w:b/>
          <w:bCs/>
          <w:color w:val="1A1A1A"/>
          <w:sz w:val="21"/>
          <w:szCs w:val="21"/>
        </w:rPr>
        <w:t xml:space="preserve">Standing instructions</w:t>
      </w:r>
      <w:r>
        <w:rPr>
          <w:rFonts w:ascii="Calibri" w:cs="Calibri" w:eastAsia="Calibri" w:hAnsi="Calibri"/>
          <w:color w:val="1A1A1A"/>
          <w:sz w:val="21"/>
          <w:szCs w:val="21"/>
        </w:rPr>
        <w:t xml:space="preserve"> for fixed recurring items (property tax cannot use these; premiums can).</w:t>
      </w:r>
    </w:p>
    <w:p>
      <w:pPr>
        <w:pStyle w:val="Heading2"/>
        <w:spacing w:after="140" w:before="220"/>
      </w:pPr>
      <w:r>
        <w:rPr>
          <w:rFonts w:ascii="Calibri" w:cs="Calibri" w:eastAsia="Calibri" w:hAnsi="Calibri"/>
          <w:b/>
          <w:bCs/>
          <w:color w:val="12213A"/>
          <w:sz w:val="24"/>
          <w:szCs w:val="24"/>
        </w:rPr>
        <w:t xml:space="preserve">Mapping to the family's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9"/>
        <w:gridCol w:w="1560"/>
        <w:gridCol w:w="5531"/>
      </w:tblGrid>
      <w:tr>
        <w:trPr>
          <w:tblHeader/>
        </w:trPr>
        <w:tc>
          <w:tcPr>
            <w:tcW w:type="dxa" w:w="2269"/>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20"/>
                <w:szCs w:val="20"/>
              </w:rPr>
              <w:t xml:space="preserve">Entity</w:t>
            </w:r>
          </w:p>
        </w:tc>
        <w:tc>
          <w:tcPr>
            <w:tcW w:type="dxa" w:w="1560"/>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20"/>
                <w:szCs w:val="20"/>
              </w:rPr>
              <w:t xml:space="preserve">Account today</w:t>
            </w:r>
          </w:p>
        </w:tc>
        <w:tc>
          <w:tcPr>
            <w:tcW w:type="dxa" w:w="5531"/>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20"/>
                <w:szCs w:val="20"/>
              </w:rPr>
              <w:t xml:space="preserve">Route</w:t>
            </w:r>
          </w:p>
        </w:tc>
      </w:tr>
      <w:tr>
        <w:trPr>
          <w:tblHeader w:val="false"/>
        </w:trPr>
        <w:tc>
          <w:tcPr>
            <w:tcW w:type="dxa" w:w="2269"/>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HUF</w:t>
            </w:r>
          </w:p>
        </w:tc>
        <w:tc>
          <w:tcPr>
            <w:tcW w:type="dxa" w:w="156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ICICI current ••0928</w:t>
            </w:r>
          </w:p>
        </w:tc>
        <w:tc>
          <w:tcPr>
            <w:tcW w:type="dxa" w:w="5531"/>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ICICI Corporate API Suite — full API payments; HUF registers for CIB with karta as authoriser</w:t>
            </w:r>
          </w:p>
        </w:tc>
      </w:tr>
      <w:tr>
        <w:trPr>
          <w:tblHeader w:val="false"/>
        </w:trPr>
        <w:tc>
          <w:tcPr>
            <w:tcW w:type="dxa" w:w="2269"/>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Individuals (Arjun, Spouse)</w:t>
            </w:r>
          </w:p>
        </w:tc>
        <w:tc>
          <w:tcPr>
            <w:tcW w:type="dxa" w:w="156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HDFC / Kotak savings</w:t>
            </w:r>
          </w:p>
        </w:tc>
        <w:tc>
          <w:tcPr>
            <w:tcW w:type="dxa" w:w="5531"/>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Assisted (UPI intent) for payments; NACH mandates for MF purchases; optionally open a personal </w:t>
            </w:r>
            <w:r>
              <w:rPr>
                <w:rFonts w:ascii="Calibri" w:cs="Calibri" w:eastAsia="Calibri" w:hAnsi="Calibri"/>
                <w:b w:val="false"/>
                <w:bCs w:val="false"/>
                <w:i/>
                <w:iCs/>
                <w:color w:val="1A1A1A"/>
                <w:sz w:val="20"/>
                <w:szCs w:val="20"/>
              </w:rPr>
              <w:t xml:space="preserve">current</w:t>
            </w:r>
            <w:r>
              <w:rPr>
                <w:rFonts w:ascii="Calibri" w:cs="Calibri" w:eastAsia="Calibri" w:hAnsi="Calibri"/>
                <w:b w:val="false"/>
                <w:bCs w:val="false"/>
                <w:color w:val="1A1A1A"/>
                <w:sz w:val="20"/>
                <w:szCs w:val="20"/>
              </w:rPr>
              <w:t xml:space="preserve"> account at ICICI/Yes/Axis for API access</w:t>
            </w:r>
          </w:p>
        </w:tc>
      </w:tr>
      <w:tr>
        <w:trPr>
          <w:tblHeader w:val="false"/>
        </w:trPr>
        <w:tc>
          <w:tcPr>
            <w:tcW w:type="dxa" w:w="2269"/>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LLP/company (if created for RIA)</w:t>
            </w:r>
          </w:p>
        </w:tc>
        <w:tc>
          <w:tcPr>
            <w:tcW w:type="dxa" w:w="156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New current account</w:t>
            </w:r>
          </w:p>
        </w:tc>
        <w:tc>
          <w:tcPr>
            <w:tcW w:type="dxa" w:w="5531"/>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Full API; can act as the family's payment hub for vendor bills</w:t>
            </w:r>
          </w:p>
        </w:tc>
      </w:tr>
    </w:tbl>
    <w:p>
      <w:pPr>
        <w:spacing w:after="180"/>
      </w:pPr>
    </w:p>
    <w:p>
      <w:pPr>
        <w:spacing w:after="140" w:line="276"/>
      </w:pPr>
      <w:r>
        <w:rPr>
          <w:rFonts w:ascii="Calibri" w:cs="Calibri" w:eastAsia="Calibri" w:hAnsi="Calibri"/>
          <w:color w:val="1A1A1A"/>
          <w:sz w:val="21"/>
          <w:szCs w:val="21"/>
        </w:rPr>
        <w:t xml:space="preserve">Bills (property tax, utilities, insurance premiums) go through </w:t>
      </w:r>
      <w:r>
        <w:rPr>
          <w:rFonts w:ascii="Calibri" w:cs="Calibri" w:eastAsia="Calibri" w:hAnsi="Calibri"/>
          <w:b/>
          <w:bCs/>
          <w:color w:val="1A1A1A"/>
          <w:sz w:val="21"/>
          <w:szCs w:val="21"/>
        </w:rPr>
        <w:t xml:space="preserve">BBPS</w:t>
      </w:r>
      <w:r>
        <w:rPr>
          <w:rFonts w:ascii="Calibri" w:cs="Calibri" w:eastAsia="Calibri" w:hAnsi="Calibri"/>
          <w:color w:val="1A1A1A"/>
          <w:sz w:val="21"/>
          <w:szCs w:val="21"/>
        </w:rPr>
        <w:t xml:space="preserve"> regardless of bank — a BBPS agent API (Setu, Razorpay) fetches the bill by consumer/assessment number and pays from a linked account; receipts reconcile automatically. This covers the most frequent payment intents without touching savings-account APIs at all.</w:t>
      </w:r>
    </w:p>
    <w:p>
      <w:pPr>
        <w:pStyle w:val="Heading2"/>
        <w:spacing w:after="140" w:before="220"/>
      </w:pPr>
      <w:r>
        <w:rPr>
          <w:rFonts w:ascii="Calibri" w:cs="Calibri" w:eastAsia="Calibri" w:hAnsi="Calibri"/>
          <w:b/>
          <w:bCs/>
          <w:color w:val="12213A"/>
          <w:sz w:val="24"/>
          <w:szCs w:val="24"/>
        </w:rPr>
        <w:t xml:space="preserve">Recommendation</w:t>
      </w:r>
    </w:p>
    <w:p>
      <w:pPr>
        <w:pStyle w:val="ListParagraph"/>
        <w:numPr>
          <w:ilvl w:val="0"/>
          <w:numId w:val="3"/>
        </w:numPr>
        <w:spacing w:after="110" w:line="276"/>
      </w:pPr>
      <w:r>
        <w:rPr>
          <w:rFonts w:ascii="Calibri" w:cs="Calibri" w:eastAsia="Calibri" w:hAnsi="Calibri"/>
          <w:b/>
          <w:bCs/>
          <w:color w:val="1A1A1A"/>
          <w:sz w:val="21"/>
          <w:szCs w:val="21"/>
        </w:rPr>
        <w:t xml:space="preserve">HUF on ICICI Corporate API Suite</w:t>
      </w:r>
      <w:r>
        <w:rPr>
          <w:rFonts w:ascii="Calibri" w:cs="Calibri" w:eastAsia="Calibri" w:hAnsi="Calibri"/>
          <w:color w:val="1A1A1A"/>
          <w:sz w:val="21"/>
          <w:szCs w:val="21"/>
        </w:rPr>
        <w:t xml:space="preserve"> first: one bank, one entity, the account already exists. Enable "with portal authorisation" initially so the bank's own checker step remains until the platform's approval flow has run for a month; then move to "without".</w:t>
      </w:r>
    </w:p>
    <w:p>
      <w:pPr>
        <w:pStyle w:val="ListParagraph"/>
        <w:numPr>
          <w:ilvl w:val="0"/>
          <w:numId w:val="3"/>
        </w:numPr>
        <w:spacing w:after="110" w:line="276"/>
      </w:pPr>
      <w:r>
        <w:rPr>
          <w:rFonts w:ascii="Calibri" w:cs="Calibri" w:eastAsia="Calibri" w:hAnsi="Calibri"/>
          <w:b/>
          <w:bCs/>
          <w:color w:val="1A1A1A"/>
          <w:sz w:val="21"/>
          <w:szCs w:val="21"/>
        </w:rPr>
        <w:t xml:space="preserve">BBPS agent (Setu)</w:t>
      </w:r>
      <w:r>
        <w:rPr>
          <w:rFonts w:ascii="Calibri" w:cs="Calibri" w:eastAsia="Calibri" w:hAnsi="Calibri"/>
          <w:color w:val="1A1A1A"/>
          <w:sz w:val="21"/>
          <w:szCs w:val="21"/>
        </w:rPr>
        <w:t xml:space="preserve"> for property tax, utilities and premiums across all entities.</w:t>
      </w:r>
    </w:p>
    <w:p>
      <w:pPr>
        <w:pStyle w:val="ListParagraph"/>
        <w:numPr>
          <w:ilvl w:val="0"/>
          <w:numId w:val="3"/>
        </w:numPr>
        <w:spacing w:after="110" w:line="276"/>
      </w:pPr>
      <w:r>
        <w:rPr>
          <w:rFonts w:ascii="Calibri" w:cs="Calibri" w:eastAsia="Calibri" w:hAnsi="Calibri"/>
          <w:b/>
          <w:bCs/>
          <w:color w:val="1A1A1A"/>
          <w:sz w:val="21"/>
          <w:szCs w:val="21"/>
        </w:rPr>
        <w:t xml:space="preserve">Individuals stay assisted</w:t>
      </w:r>
      <w:r>
        <w:rPr>
          <w:rFonts w:ascii="Calibri" w:cs="Calibri" w:eastAsia="Calibri" w:hAnsi="Calibri"/>
          <w:color w:val="1A1A1A"/>
          <w:sz w:val="21"/>
          <w:szCs w:val="21"/>
        </w:rPr>
        <w:t xml:space="preserve"> via UPI intent, with NACH mandates for MF purchases. Revisit a personal current account only if assisted volume becomes a burden.</w:t>
      </w:r>
    </w:p>
    <w:p>
      <w:pPr>
        <w:pStyle w:val="ListParagraph"/>
        <w:numPr>
          <w:ilvl w:val="0"/>
          <w:numId w:val="3"/>
        </w:numPr>
        <w:spacing w:after="110" w:line="276"/>
      </w:pPr>
      <w:r>
        <w:rPr>
          <w:rFonts w:ascii="Calibri" w:cs="Calibri" w:eastAsia="Calibri" w:hAnsi="Calibri"/>
          <w:color w:val="1A1A1A"/>
          <w:sz w:val="21"/>
          <w:szCs w:val="21"/>
        </w:rPr>
        <w:t xml:space="preserve">Skip aggregators in v1 (one bank, one entity does not justify them); reconsider when a second bank or a payout hub is needed.</w:t>
      </w:r>
    </w:p>
    <w:p>
      <w:pPr>
        <w:pStyle w:val="Heading1"/>
        <w:pBdr>
          <w:bottom w:val="single" w:color="0E7C6B" w:sz="4" w:space="6"/>
        </w:pBdr>
        <w:spacing w:after="140" w:before="280"/>
      </w:pPr>
      <w:r>
        <w:rPr>
          <w:rFonts w:ascii="Calibri" w:cs="Calibri" w:eastAsia="Calibri" w:hAnsi="Calibri"/>
          <w:b/>
          <w:bCs/>
          <w:color w:val="12213A"/>
          <w:sz w:val="28"/>
          <w:szCs w:val="28"/>
        </w:rPr>
        <w:t xml:space="preserve">3. What changed in the spec</w:t>
      </w:r>
    </w:p>
    <w:p>
      <w:pPr>
        <w:pStyle w:val="ListParagraph"/>
        <w:numPr>
          <w:ilvl w:val="0"/>
          <w:numId w:val="2"/>
        </w:numPr>
        <w:spacing w:after="110" w:line="276"/>
      </w:pPr>
      <w:r>
        <w:rPr>
          <w:rFonts w:ascii="Calibri" w:cs="Calibri" w:eastAsia="Calibri" w:hAnsi="Calibri"/>
          <w:color w:val="1A1A1A"/>
          <w:sz w:val="21"/>
          <w:szCs w:val="21"/>
        </w:rPr>
        <w:t xml:space="preserve">PRD 3.18 connectors table: Kite = equity/ETF orders + MF read; MF execution = BSE StAR MF (RIA/MFD code, NACH mandates, Cybrilla FP or SOAP); banks = ICICI CIB for HUF, BBPS for bills, assisted for savings accounts.</w:t>
      </w:r>
    </w:p>
    <w:p>
      <w:pPr>
        <w:pStyle w:val="ListParagraph"/>
        <w:numPr>
          <w:ilvl w:val="0"/>
          <w:numId w:val="2"/>
        </w:numPr>
        <w:spacing w:after="110" w:line="276"/>
      </w:pPr>
      <w:r>
        <w:rPr>
          <w:rFonts w:ascii="Calibri" w:cs="Calibri" w:eastAsia="Calibri" w:hAnsi="Calibri"/>
          <w:color w:val="1A1A1A"/>
          <w:sz w:val="21"/>
          <w:szCs w:val="21"/>
        </w:rPr>
        <w:t xml:space="preserve">Intent kinds </w:t>
      </w:r>
      <w:r>
        <w:rPr>
          <w:rFonts w:ascii="Consolas" w:cs="Consolas" w:eastAsia="Consolas" w:hAnsi="Consolas"/>
          <w:color w:val="12213A"/>
          <w:sz w:val="19"/>
          <w:szCs w:val="19"/>
        </w:rPr>
        <w:t xml:space="preserve">mf_purchase / mf_redemption / mf_switch / mf_sip_mandate</w:t>
      </w:r>
      <w:r>
        <w:rPr>
          <w:rFonts w:ascii="Calibri" w:cs="Calibri" w:eastAsia="Calibri" w:hAnsi="Calibri"/>
          <w:color w:val="1A1A1A"/>
          <w:sz w:val="21"/>
          <w:szCs w:val="21"/>
        </w:rPr>
        <w:t xml:space="preserve"> are </w:t>
      </w:r>
      <w:r>
        <w:rPr>
          <w:rFonts w:ascii="Calibri" w:cs="Calibri" w:eastAsia="Calibri" w:hAnsi="Calibri"/>
          <w:i/>
          <w:iCs/>
          <w:color w:val="1A1A1A"/>
          <w:sz w:val="21"/>
          <w:szCs w:val="21"/>
        </w:rPr>
        <w:t xml:space="preserve">assisted</w:t>
      </w:r>
      <w:r>
        <w:rPr>
          <w:rFonts w:ascii="Calibri" w:cs="Calibri" w:eastAsia="Calibri" w:hAnsi="Calibri"/>
          <w:color w:val="1A1A1A"/>
          <w:sz w:val="21"/>
          <w:szCs w:val="21"/>
        </w:rPr>
        <w:t xml:space="preserve"> until the MF connector (FO-126) is live; the capability matrix at </w:t>
      </w:r>
      <w:r>
        <w:rPr>
          <w:rFonts w:ascii="Consolas" w:cs="Consolas" w:eastAsia="Consolas" w:hAnsi="Consolas"/>
          <w:color w:val="12213A"/>
          <w:sz w:val="19"/>
          <w:szCs w:val="19"/>
        </w:rPr>
        <w:t xml:space="preserve">/actions/schemas</w:t>
      </w:r>
      <w:r>
        <w:rPr>
          <w:rFonts w:ascii="Calibri" w:cs="Calibri" w:eastAsia="Calibri" w:hAnsi="Calibri"/>
          <w:color w:val="1A1A1A"/>
          <w:sz w:val="21"/>
          <w:szCs w:val="21"/>
        </w:rPr>
        <w:t xml:space="preserve"> says so per kind.</w:t>
      </w:r>
    </w:p>
    <w:p>
      <w:pPr>
        <w:pStyle w:val="ListParagraph"/>
        <w:numPr>
          <w:ilvl w:val="0"/>
          <w:numId w:val="2"/>
        </w:numPr>
        <w:spacing w:after="110" w:line="276"/>
      </w:pPr>
      <w:r>
        <w:rPr>
          <w:rFonts w:ascii="Calibri" w:cs="Calibri" w:eastAsia="Calibri" w:hAnsi="Calibri"/>
          <w:color w:val="1A1A1A"/>
          <w:sz w:val="21"/>
          <w:szCs w:val="21"/>
        </w:rPr>
        <w:t xml:space="preserve">Tickets FO-124, FO-126, FO-127 reworded; new FO-134 (NACH e-mandate registration and tracking).</w:t>
      </w:r>
    </w:p>
    <w:p>
      <w:pPr>
        <w:pStyle w:val="ListParagraph"/>
        <w:numPr>
          <w:ilvl w:val="0"/>
          <w:numId w:val="2"/>
        </w:numPr>
        <w:spacing w:after="110" w:line="276"/>
      </w:pPr>
      <w:r>
        <w:rPr>
          <w:rFonts w:ascii="Calibri" w:cs="Calibri" w:eastAsia="Calibri" w:hAnsi="Calibri"/>
          <w:color w:val="1A1A1A"/>
          <w:sz w:val="21"/>
          <w:szCs w:val="21"/>
        </w:rPr>
        <w:t xml:space="preserve">Decisions 10 and 11 in PRD section 11 now carry the recommendation above and await your confirmation.</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472"/>
        <w:sz w:val="16"/>
        <w:szCs w:val="16"/>
      </w:rPr>
      <w:t xml:space="preserve">Execution routes   ·   </w:t>
    </w:r>
    <w:r>
      <w:rPr>
        <w:rFonts w:ascii="Calibri" w:cs="Calibri" w:eastAsia="Calibri" w:hAnsi="Calibri"/>
        <w:color w:val="5B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BE0" w:sz="4" w:space="4"/>
      </w:pBdr>
      <w:spacing w:after="120"/>
    </w:pPr>
    <w:r>
      <w:rPr>
        <w:rFonts w:ascii="Calibri" w:cs="Calibri" w:eastAsia="Calibri" w:hAnsi="Calibri"/>
        <w:caps/>
        <w:color w:val="5B6472"/>
        <w:sz w:val="16"/>
        <w:szCs w:val="16"/>
      </w:rPr>
      <w:t xml:space="preserve">WealthPrism / Family Office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0E7C6B"/>
      </w:rPr>
    </w:lvl>
    <w:lvl w:ilvl="1" w15:tentative="1">
      <w:start w:val="1"/>
      <w:numFmt w:val="bullet"/>
      <w:lvlText w:val="◦"/>
      <w:lvlJc w:val="left"/>
      <w:pPr>
        <w:ind w:left="720" w:hanging="240"/>
      </w:pPr>
      <w:rPr>
        <w:color w:val="0E7C6B"/>
      </w:rPr>
    </w:lvl>
  </w:abstractNum>
  <w:abstractNum w:abstractNumId="3" w15:restartNumberingAfterBreak="0">
    <w:multiLevelType w:val="hybridMultilevel"/>
    <w:lvl w:ilvl="0" w15:tentative="1">
      <w:start w:val="1"/>
      <w:numFmt w:val="decimal"/>
      <w:lvlText w:val="%1."/>
      <w:lvlJc w:val="left"/>
      <w:pPr>
        <w:ind w:left="400" w:hanging="280"/>
      </w:pPr>
      <w:rPr>
        <w:b/>
        <w:bCs/>
        <w:color w:val="12213A"/>
      </w:rPr>
    </w:lvl>
    <w:lvl w:ilvl="1" w15:tentative="1">
      <w:start w:val="1"/>
      <w:numFmt w:val="lowerLetter"/>
      <w:lvlText w:val="%2."/>
      <w:lvlJc w:val="left"/>
      <w:pPr>
        <w:ind w:left="760" w:hanging="280"/>
      </w:pPr>
      <w:rPr>
        <w:color w:val="12213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Execution routes</dc:title>
  <dc:creator>WealthPrism</dc:creator>
  <dc:description>Family Office / WealthPrism — Execution routes</dc:description>
  <cp:lastModifiedBy>Un-named</cp:lastModifiedBy>
  <cp:revision>1</cp:revision>
  <dcterms:created xsi:type="dcterms:W3CDTF">2026-09-15T03:24:04.039Z</dcterms:created>
  <dcterms:modified xsi:type="dcterms:W3CDTF">2026-09-15T03:24:04.039Z</dcterms:modified>
</cp:coreProperties>
</file>

<file path=docProps/custom.xml><?xml version="1.0" encoding="utf-8"?>
<Properties xmlns="http://schemas.openxmlformats.org/officeDocument/2006/custom-properties" xmlns:vt="http://schemas.openxmlformats.org/officeDocument/2006/docPropsVTypes"/>
</file>