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2213A"/>
          <w:sz w:val="40"/>
          <w:szCs w:val="40"/>
        </w:rPr>
        <w:t xml:space="preserve">Family Office — complete handover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 bundle: specification, verified database and API contract, clickable prototype, the runnable application (web + mobile + API + engines), Docker deployment for any VPS, and the developer setup. Word versions of every guide are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docx/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Read in this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029"/>
        <w:gridCol w:w="3771"/>
      </w:tblGrid>
      <w:tr>
        <w:trPr>
          <w:tblHeader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#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File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HANDOVER.md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Start here if you are taking the project over: current state, the four invariants, the production runbook, the traps already hit, and an access checklist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DEV-SETUP.md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 it on a laptop in ten minutes (infra in Docker, code with hot reload)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DEV-VPS-SETUP.md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Stand up your own development or staging VPS, and what must never be copied from production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VPS-DEPLOYMENT.md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 production on a VPS with one script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deploy/bootstrap-vps.sh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), day-2 operations, porting to another server, and every error met on the first deployment with its fix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CLAUDE.md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House style and the pattern every ticket follows — read before writing code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BUILD-STATUS.md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Exactly what is implemented and verified, and which ticket adds each remaining piece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family-office-PRD.md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specification (v2.0): 21 modules, schema, API, calculations, acceptance tests, decisions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family-office-prototype.html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Clickable reference UI for every screen (toggle Web/Mobile at the top)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tickets/phases_0-2_tickets.md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.csv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130 tickets with acceptance criteria and dependencies; CSV imports into Jira/Linear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PROGRESS.md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milestone log — what each milestone delivered and its known limits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029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family-office-BENCHMARK.md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family-office-EXECUTION-ROUTES.md</w:t>
            </w:r>
          </w:p>
        </w:tc>
        <w:tc>
          <w:tcPr>
            <w:tcW w:type="dxa" w:w="377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Why each feature exists; how MF and bank execution actually connect in India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Layout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app/            monorepo. apps/api (Fastify; also hosts the worker, CLI and migrator), apps/executor,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apps/web (React 19 + Vite), apps/mobile (Expo);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packages/finance, packages/parsers, packages/connectors, packages/reports;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app/deploy/*.Dockerfile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db/             SQL migrations 001–030 (schema, RLS, GL invariants, action-plane state machine) + seeds,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applied in order and tracked in schema_migrations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api/            openapi.yaml — 364 paths, every one implemented; unknown paths are plain 404s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deploy/         docker-compose.yml (+ dev overlay), .env.example / .env.dev, bootstrap-vps.sh,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caddy/, nginx/, scripts/ (backup, restore, deploy)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samples/        parser fixtures (CAS, contract notes, bank CSV, AA JSON, 26AS, PMS, e-CAS, FMV)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docx/           Word versions of all guides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.github/        CI — the full API suite against a real Postgres, and a build of all three Dockerfiles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Quick start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a VPS — production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DOMAIN=app.example.in EMAIL=you@example.in bash deploy/bootstrap-vps.sh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a VPS — your own development box (seeded demo data, sandbox connectors); see DEV-VPS-SETUP.md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DOMAIN=dev.example.in EMAIL=you@example.in SEED=true bash deploy/bootstrap-vps.sh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a laptop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deploy &amp;&amp; docker compose -f docker-compose.yml -f docker-compose.dev.yml --env-file .env.dev up -d postgres redis minio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../app &amp;&amp; pnpm install &amp;&amp; pnpm --filter @fo/api... build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DATABASE_URL=postgres://app_user:app@localhost:5432/familyoffice pnpm dev:api &amp; pnpm dev:web</w:t>
      </w:r>
    </w:p>
    <w:p>
      <w:pPr>
        <w:spacing w:after="14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pnpm --filter &lt;target&gt;... build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...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suffix means "and its dependencies". Never hand-list the packages to build: every place that did has broken, because a fresh checkout has no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dist/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the others to resolve through.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Demo login (seeded environments only):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arjun@example.com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Prototype!2026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Step-up code for approvals: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000000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Source of truth once cloned: your Git repository. To deploy a new version, build, migrate, then restart — migrate before the new containers start, because the new code may need the new schema: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git pull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deploy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build api executor web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--profile ops run --rm migrate      # --profile goes BEFORE run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up -d api worker executor web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Family Office — complete handover   ·  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120"/>
    </w:pPr>
    <w:r>
      <w:rPr>
        <w:rFonts w:ascii="Calibri" w:cs="Calibri" w:eastAsia="Calibri" w:hAnsi="Calibri"/>
        <w:caps/>
        <w:color w:val="5B6472"/>
        <w:sz w:val="16"/>
        <w:szCs w:val="16"/>
      </w:rPr>
      <w:t xml:space="preserve">WealthPrism / Family 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7C6B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0E7C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12213A"/>
      </w:rPr>
    </w:lvl>
    <w:lvl w:ilvl="1" w15:tentative="1">
      <w:start w:val="1"/>
      <w:numFmt w:val="lowerLetter"/>
      <w:lvlText w:val="%2."/>
      <w:lvlJc w:val="left"/>
      <w:pPr>
        <w:ind w:left="760" w:hanging="280"/>
      </w:pPr>
      <w:rPr>
        <w:color w:val="1221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Office — complete handover</dc:title>
  <dc:creator>WealthPrism</dc:creator>
  <dc:description>Family Office / WealthPrism — Family Office — complete handover</dc:description>
  <cp:lastModifiedBy>Un-named</cp:lastModifiedBy>
  <cp:revision>1</cp:revision>
  <dcterms:created xsi:type="dcterms:W3CDTF">2026-09-15T03:24:01.968Z</dcterms:created>
  <dcterms:modified xsi:type="dcterms:W3CDTF">2026-09-15T03:24:01.968Z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