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12213A"/>
          <w:sz w:val="40"/>
          <w:szCs w:val="40"/>
        </w:rPr>
        <w:t xml:space="preserve">Sample input files for parser development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All files are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synthetic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format-faithful, sized to the seed data in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db/002_seed.sql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(so a successful import should reconcile against the seeded holdings and bank balances). They are for building and unit-testing parsers. Before release, replace each with 2–3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real, anonymised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files from the actual providers — real files vary more than these samples.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3"/>
        <w:gridCol w:w="724"/>
        <w:gridCol w:w="1223"/>
        <w:gridCol w:w="1997"/>
        <w:gridCol w:w="524"/>
        <w:gridCol w:w="468"/>
        <w:gridCol w:w="468"/>
        <w:gridCol w:w="468"/>
        <w:gridCol w:w="468"/>
        <w:gridCol w:w="1997"/>
      </w:tblGrid>
      <w:tr>
        <w:trPr>
          <w:tblHeader/>
        </w:trPr>
        <w:tc>
          <w:tcPr>
            <w:tcW w:type="dxa" w:w="10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6"/>
                <w:szCs w:val="16"/>
              </w:rPr>
              <w:t xml:space="preserve">File</w:t>
            </w:r>
          </w:p>
        </w:tc>
        <w:tc>
          <w:tcPr>
            <w:tcW w:type="dxa" w:w="72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6"/>
                <w:szCs w:val="16"/>
              </w:rPr>
              <w:t xml:space="preserve">Source it imitates</w:t>
            </w:r>
          </w:p>
        </w:tc>
        <w:tc>
          <w:tcPr>
            <w:tcW w:type="dxa" w:w="12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6"/>
                <w:szCs w:val="16"/>
              </w:rPr>
              <w:t xml:space="preserve">Parser to build</w:t>
            </w:r>
          </w:p>
        </w:tc>
        <w:tc>
          <w:tcPr>
            <w:tcW w:type="dxa" w:w="19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6"/>
                <w:szCs w:val="16"/>
              </w:rPr>
              <w:t xml:space="preserve">Notes</w:t>
            </w:r>
          </w:p>
        </w:tc>
        <w:tc>
          <w:tcPr>
            <w:tcW w:type="dxa" w:w="52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6"/>
                <w:szCs w:val="16"/>
              </w:rPr>
              <w:t xml:space="preserve"/>
            </w:r>
          </w:p>
        </w:tc>
        <w:tc>
          <w:tcPr>
            <w:tcW w:type="dxa" w:w="19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zerodha_tradebook_FY2026-27.csv</w:t>
            </w:r>
          </w:p>
        </w:tc>
        <w:tc>
          <w:tcPr>
            <w:tcW w:type="dxa" w:w="72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Zerodha Console tradebook export</w:t>
            </w:r>
          </w:p>
        </w:tc>
        <w:tc>
          <w:tcPr>
            <w:tcW w:type="dxa" w:w="12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parsers/contract_note/zerodha.ts</w:t>
            </w:r>
          </w:p>
        </w:tc>
        <w:tc>
          <w:tcPr>
            <w:tcW w:type="dxa" w:w="19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trade_type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buy/sell; charges arrive separately in the contract note, not here</w:t>
            </w:r>
          </w:p>
        </w:tc>
        <w:tc>
          <w:tcPr>
            <w:tcW w:type="dxa" w:w="52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icicidirect_contract_note_sample.csv</w:t>
            </w:r>
          </w:p>
        </w:tc>
        <w:tc>
          <w:tcPr>
            <w:tcW w:type="dxa" w:w="72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ICICI Direct contract-note summary (XLS in reality)</w:t>
            </w:r>
          </w:p>
        </w:tc>
        <w:tc>
          <w:tcPr>
            <w:tcW w:type="dxa" w:w="12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parsers/contract_note/generic_mapped.ts</w:t>
            </w:r>
          </w:p>
        </w:tc>
        <w:tc>
          <w:tcPr>
            <w:tcW w:type="dxa" w:w="19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Use for the column-mapping assistant test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POST /imports/{id}/mapping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)</w:t>
            </w:r>
          </w:p>
        </w:tc>
        <w:tc>
          <w:tcPr>
            <w:tcW w:type="dxa" w:w="52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cams_cas_extracted_text_sample.txt</w:t>
            </w:r>
          </w:p>
        </w:tc>
        <w:tc>
          <w:tcPr>
            <w:tcW w:type="dxa" w:w="72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Text extracted from a CAMS/KFintech detailed CAS PDF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pdftotext -layout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)</w:t>
            </w:r>
          </w:p>
        </w:tc>
        <w:tc>
          <w:tcPr>
            <w:tcW w:type="dxa" w:w="12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parsers/cas/cams.ts</w:t>
            </w:r>
          </w:p>
        </w:tc>
        <w:tc>
          <w:tcPr>
            <w:tcW w:type="dxa" w:w="19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Multiple PANs → map folio to entity by PAN; parentheses = negative; SIP lines carry "(1)"</w:t>
            </w:r>
          </w:p>
        </w:tc>
        <w:tc>
          <w:tcPr>
            <w:tcW w:type="dxa" w:w="52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hdfc_bank_statement_sep2026.csv</w:t>
            </w:r>
          </w:p>
        </w:tc>
        <w:tc>
          <w:tcPr>
            <w:tcW w:type="dxa" w:w="72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HDFC NetBanking "Delimited" statement</w:t>
            </w:r>
          </w:p>
        </w:tc>
        <w:tc>
          <w:tcPr>
            <w:tcW w:type="dxa" w:w="12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parsers/bank_csv/hdfc.ts</w:t>
            </w:r>
          </w:p>
        </w:tc>
        <w:tc>
          <w:tcPr>
            <w:tcW w:type="dxa" w:w="19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dd/mm/yy dates; separate withdrawal/deposit columns</w:t>
            </w:r>
          </w:p>
        </w:tc>
        <w:tc>
          <w:tcPr>
            <w:tcW w:type="dxa" w:w="52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aa_fi_data_deposit_sample.json</w:t>
            </w:r>
          </w:p>
        </w:tc>
        <w:tc>
          <w:tcPr>
            <w:tcW w:type="dxa" w:w="72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Account Aggregator FI data (ReBIT deposit schema) after decryption</w:t>
            </w:r>
          </w:p>
        </w:tc>
        <w:tc>
          <w:tcPr>
            <w:tcW w:type="dxa" w:w="12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integrations/aa/normalise.ts</w:t>
            </w:r>
          </w:p>
        </w:tc>
        <w:tc>
          <w:tcPr>
            <w:tcW w:type="dxa" w:w="19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Balances and transactions arrive together; de-dup on (account, txnId or reference)</w:t>
            </w:r>
          </w:p>
        </w:tc>
        <w:tc>
          <w:tcPr>
            <w:tcW w:type="dxa" w:w="52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form26as_mehta_huf_FY2026-27.txt</w:t>
            </w:r>
          </w:p>
        </w:tc>
        <w:tc>
          <w:tcPr>
            <w:tcW w:type="dxa" w:w="72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TRACES Form 26AS Part A text export</w:t>
            </w:r>
          </w:p>
        </w:tc>
        <w:tc>
          <w:tcPr>
            <w:tcW w:type="dxa" w:w="12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parsers/form26as.ts</w:t>
            </w:r>
          </w:p>
        </w:tc>
        <w:tc>
          <w:tcPr>
            <w:tcW w:type="dxa" w:w="19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Deductor header row followed by section rows; sum by (TAN, section)</w:t>
            </w:r>
          </w:p>
        </w:tc>
        <w:tc>
          <w:tcPr>
            <w:tcW w:type="dxa" w:w="52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pms_statement_extracted_text_sample.txt</w:t>
            </w:r>
          </w:p>
        </w:tc>
        <w:tc>
          <w:tcPr>
            <w:tcW w:type="dxa" w:w="72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PMS monthly statement text</w:t>
            </w:r>
          </w:p>
        </w:tc>
        <w:tc>
          <w:tcPr>
            <w:tcW w:type="dxa" w:w="12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parsers/pms_stmt/generic.ts</w:t>
            </w:r>
          </w:p>
        </w:tc>
        <w:tc>
          <w:tcPr>
            <w:tcW w:type="dxa" w:w="19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Only closing value, fees and capital contributed are needed; holdings are informational</w:t>
            </w:r>
          </w:p>
        </w:tc>
        <w:tc>
          <w:tcPr>
            <w:tcW w:type="dxa" w:w="52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aif_statement_extracted_text_sample.txt</w:t>
            </w:r>
          </w:p>
        </w:tc>
        <w:tc>
          <w:tcPr>
            <w:tcW w:type="dxa" w:w="72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AIF capital-account statement text (commitment, drawn, NAV, call notice, distribution)</w:t>
            </w:r>
          </w:p>
        </w:tc>
        <w:tc>
          <w:tcPr>
            <w:tcW w:type="dxa" w:w="12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parsers/pms.ts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parseAifStatement</w:t>
            </w:r>
          </w:p>
        </w:tc>
        <w:tc>
          <w:tcPr>
            <w:tcW w:type="dxa" w:w="19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The call notice becomes a committed outflow + task on its due date; NAV becomes a private mark; the distribution is de-duplicated against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fund_cashflows</w:t>
            </w:r>
          </w:p>
        </w:tc>
        <w:tc>
          <w:tcPr>
            <w:tcW w:type="dxa" w:w="52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ecas_nsdl_extracted_text_sample.txt</w:t>
            </w:r>
          </w:p>
        </w:tc>
        <w:tc>
          <w:tcPr>
            <w:tcW w:type="dxa" w:w="72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NSDL e-CAS text: demat ISIN holdings and MF folios for one PAN</w:t>
            </w:r>
          </w:p>
        </w:tc>
        <w:tc>
          <w:tcPr>
            <w:tcW w:type="dxa" w:w="12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parsers/ecas.ts</w:t>
            </w:r>
          </w:p>
        </w:tc>
        <w:tc>
          <w:tcPr>
            <w:tcW w:type="dxa" w:w="19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Positions only — imported straight into reconciliation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ecas_nsdl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cas_mf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sources); a quantity that differs from the platform raises an exception</w:t>
            </w:r>
          </w:p>
        </w:tc>
        <w:tc>
          <w:tcPr>
            <w:tcW w:type="dxa" w:w="52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research_kotak_morning_note.txt</w:t>
            </w:r>
          </w:p>
        </w:tc>
        <w:tc>
          <w:tcPr>
            <w:tcW w:type="dxa" w:w="72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Broker morning note (structured call lines)</w:t>
            </w:r>
          </w:p>
        </w:tc>
        <w:tc>
          <w:tcPr>
            <w:tcW w:type="dxa" w:w="12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apps/api/src/lib/research.ts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4"/>
                <w:szCs w:val="14"/>
              </w:rPr>
              <w:t xml:space="preserve">extractHeuristic</w:t>
            </w:r>
          </w:p>
        </w:tc>
        <w:tc>
          <w:tcPr>
            <w:tcW w:type="dxa" w:w="19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Six calls: `ACTION \</w:t>
            </w:r>
          </w:p>
        </w:tc>
        <w:tc>
          <w:tcPr>
            <w:tcW w:type="dxa" w:w="52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Instrument (SYMBOL) \</w:t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CMP \</w:t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TP \</w:t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SL \</w:t>
            </w:r>
          </w:p>
        </w:tc>
        <w:tc>
          <w:tcPr>
            <w:tcW w:type="dxa" w:w="46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12M \</w:t>
            </w:r>
          </w:p>
        </w:tc>
        <w:tc>
          <w:tcPr>
            <w:tcW w:type="dxa" w:w="19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High` with the thesis on the next line; two name instruments outside the master and stay as text</w:t>
            </w:r>
          </w:p>
        </w:tc>
      </w:tr>
    </w:tbl>
    <w:p>
      <w:pPr>
        <w:spacing w:after="18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Expected results after importing all of the above into the seeded family: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HDFC ••4471 closing balance 21,567.60 → matches within tolerance of the AA balance (21,485 in seed is prior day).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Kovai Analytics NEFT 2,565 links to the Race Course Road lease (rent 2,850 − TDS 285).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Form 26AS 194-I total 1,710 for FY reconciles to 6 months × 285.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Axis Small Cap redemption produces one STCG lot with gain −200 for Mehta HUF.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onsolas" w:cs="Consolas" w:eastAsia="Consolas" w:hAnsi="Consolas"/>
          <w:color w:val="12213A"/>
          <w:sz w:val="19"/>
          <w:szCs w:val="19"/>
        </w:rPr>
        <w:t xml:space="preserve">fmv_31jan2018_sample.csv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31 Jan 2018 fair market values per ISIN for Section 112A grandfathering (sample figures: replace with the exchange highs of 31 Jan 2018 / the AMFI NAV of that day; load with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/instruments/fmv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cli fmv:load --file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 Sales of pre-Feb-2018 equity lots then step the cost up to the lower of FMV and sale price.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472"/>
        <w:sz w:val="16"/>
        <w:szCs w:val="16"/>
      </w:rPr>
      <w:t xml:space="preserve">Sample files guide   ·   </w:t>
    </w:r>
    <w:r>
      <w:rPr>
        <w:rFonts w:ascii="Calibri" w:cs="Calibri" w:eastAsia="Calibri" w:hAnsi="Calibri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BE0" w:sz="4" w:space="4"/>
      </w:pBdr>
      <w:spacing w:after="120"/>
    </w:pPr>
    <w:r>
      <w:rPr>
        <w:rFonts w:ascii="Calibri" w:cs="Calibri" w:eastAsia="Calibri" w:hAnsi="Calibri"/>
        <w:caps/>
        <w:color w:val="5B6472"/>
        <w:sz w:val="16"/>
        <w:szCs w:val="16"/>
      </w:rPr>
      <w:t xml:space="preserve">WealthPrism / Family Office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0E7C6B"/>
      </w:rPr>
    </w:lvl>
    <w:lvl w:ilvl="1" w15:tentative="1">
      <w:start w:val="1"/>
      <w:numFmt w:val="bullet"/>
      <w:lvlText w:val="◦"/>
      <w:lvlJc w:val="left"/>
      <w:pPr>
        <w:ind w:left="720" w:hanging="240"/>
      </w:pPr>
      <w:rPr>
        <w:color w:val="0E7C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b/>
        <w:bCs/>
        <w:color w:val="12213A"/>
      </w:rPr>
    </w:lvl>
    <w:lvl w:ilvl="1" w15:tentative="1">
      <w:start w:val="1"/>
      <w:numFmt w:val="lowerLetter"/>
      <w:lvlText w:val="%2."/>
      <w:lvlJc w:val="left"/>
      <w:pPr>
        <w:ind w:left="760" w:hanging="280"/>
      </w:pPr>
      <w:rPr>
        <w:color w:val="1221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files guide</dc:title>
  <dc:creator>WealthPrism</dc:creator>
  <dc:description>Family Office / WealthPrism — Sample files guide</dc:description>
  <cp:lastModifiedBy>Un-named</cp:lastModifiedBy>
  <cp:revision>1</cp:revision>
  <dcterms:created xsi:type="dcterms:W3CDTF">2026-09-15T03:24:04.681Z</dcterms:created>
  <dcterms:modified xsi:type="dcterms:W3CDTF">2026-09-15T03:24:04.681Z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