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E14D0" w14:textId="77777777" w:rsidR="00D5245E" w:rsidRPr="00E96B54" w:rsidRDefault="00D5245E" w:rsidP="00D5245E">
      <w:pPr>
        <w:pStyle w:val="Default"/>
        <w:rPr>
          <w:sz w:val="32"/>
          <w:szCs w:val="32"/>
        </w:rPr>
      </w:pPr>
    </w:p>
    <w:p w14:paraId="5D2124E9" w14:textId="1E5FD97A" w:rsidR="00D5245E" w:rsidRPr="00271A7B" w:rsidRDefault="00D5245E" w:rsidP="00D5245E">
      <w:pPr>
        <w:pStyle w:val="Default"/>
        <w:rPr>
          <w:b/>
          <w:bCs/>
          <w:sz w:val="32"/>
          <w:szCs w:val="32"/>
        </w:rPr>
      </w:pPr>
      <w:r w:rsidRPr="00271A7B">
        <w:rPr>
          <w:b/>
          <w:bCs/>
          <w:sz w:val="32"/>
          <w:szCs w:val="32"/>
        </w:rPr>
        <w:t xml:space="preserve">ELDMA: An Ensemble Learning Approach to Infer Potential </w:t>
      </w:r>
    </w:p>
    <w:p w14:paraId="5B91E512" w14:textId="77777777" w:rsidR="00D5245E" w:rsidRPr="00271A7B" w:rsidRDefault="00D5245E" w:rsidP="00D5245E">
      <w:pPr>
        <w:pStyle w:val="Default"/>
        <w:rPr>
          <w:b/>
          <w:bCs/>
          <w:sz w:val="32"/>
          <w:szCs w:val="32"/>
        </w:rPr>
      </w:pPr>
      <w:r w:rsidRPr="00271A7B">
        <w:rPr>
          <w:b/>
          <w:bCs/>
          <w:sz w:val="32"/>
          <w:szCs w:val="32"/>
        </w:rPr>
        <w:t xml:space="preserve">Drug-MiRNA Associations by Integrating Heterogeneous </w:t>
      </w:r>
    </w:p>
    <w:p w14:paraId="705CB373" w14:textId="4B840835" w:rsidR="005B6276" w:rsidRPr="00271A7B" w:rsidRDefault="00D5245E" w:rsidP="00E96B54">
      <w:pPr>
        <w:pStyle w:val="Default"/>
        <w:rPr>
          <w:b/>
          <w:bCs/>
          <w:sz w:val="32"/>
          <w:szCs w:val="32"/>
        </w:rPr>
      </w:pPr>
      <w:r w:rsidRPr="00271A7B">
        <w:rPr>
          <w:b/>
          <w:bCs/>
          <w:sz w:val="32"/>
          <w:szCs w:val="32"/>
        </w:rPr>
        <w:t>Information Sources</w:t>
      </w:r>
    </w:p>
    <w:p w14:paraId="233BB917" w14:textId="5E26DF08" w:rsidR="00D5245E" w:rsidRDefault="00D5245E" w:rsidP="00D5245E">
      <w:pPr>
        <w:rPr>
          <w:sz w:val="32"/>
          <w:szCs w:val="32"/>
        </w:rPr>
      </w:pPr>
    </w:p>
    <w:p w14:paraId="14471B36" w14:textId="77777777" w:rsidR="00271A7B" w:rsidRDefault="00271A7B" w:rsidP="00D5245E">
      <w:pPr>
        <w:rPr>
          <w:sz w:val="32"/>
          <w:szCs w:val="32"/>
        </w:rPr>
      </w:pPr>
    </w:p>
    <w:p w14:paraId="48DC78DE" w14:textId="17C6E4E5" w:rsidR="00E96B54" w:rsidRDefault="00D5245E" w:rsidP="00D5245E">
      <w:pPr>
        <w:rPr>
          <w:rFonts w:ascii="Times New Roman" w:hAnsi="Times New Roman" w:cs="Times New Roman"/>
          <w:sz w:val="28"/>
          <w:szCs w:val="28"/>
        </w:rPr>
      </w:pPr>
      <w:r w:rsidRPr="00E96B54">
        <w:rPr>
          <w:rFonts w:ascii="Times New Roman" w:hAnsi="Times New Roman" w:cs="Times New Roman"/>
          <w:b/>
          <w:bCs/>
          <w:sz w:val="32"/>
          <w:szCs w:val="32"/>
        </w:rPr>
        <w:t>PCA</w:t>
      </w:r>
      <w:r w:rsidR="00E96B54" w:rsidRPr="00E96B54">
        <w:rPr>
          <w:rFonts w:ascii="Times New Roman" w:hAnsi="Times New Roman" w:cs="Times New Roman"/>
          <w:sz w:val="32"/>
          <w:szCs w:val="32"/>
        </w:rPr>
        <w:t>:</w:t>
      </w:r>
      <w:r w:rsidRPr="00E96B54">
        <w:rPr>
          <w:rFonts w:ascii="Times New Roman" w:hAnsi="Times New Roman" w:cs="Times New Roman"/>
          <w:sz w:val="32"/>
          <w:szCs w:val="32"/>
        </w:rPr>
        <w:t xml:space="preserve"> Contains code for performing Principal Component Analysis on the drug and microRNA similarity matrices for dimensionality reduction.</w:t>
      </w:r>
    </w:p>
    <w:p w14:paraId="57459137" w14:textId="77777777" w:rsidR="00E96B54" w:rsidRPr="00E96B54" w:rsidRDefault="00E96B54" w:rsidP="00D5245E">
      <w:pPr>
        <w:rPr>
          <w:rFonts w:ascii="Times New Roman" w:hAnsi="Times New Roman" w:cs="Times New Roman"/>
          <w:sz w:val="28"/>
          <w:szCs w:val="28"/>
        </w:rPr>
      </w:pPr>
    </w:p>
    <w:p w14:paraId="16EDDD9B" w14:textId="0253F805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Drug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>:</w:t>
      </w:r>
      <w:r w:rsidRPr="00271A7B">
        <w:rPr>
          <w:rFonts w:ascii="Times New Roman" w:hAnsi="Times New Roman" w:cs="Times New Roman"/>
          <w:sz w:val="32"/>
          <w:szCs w:val="32"/>
        </w:rPr>
        <w:t xml:space="preserve"> Drug similarity matrix (831x831)</w:t>
      </w:r>
    </w:p>
    <w:p w14:paraId="2A8FC239" w14:textId="2A66742A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MiRNA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>:</w:t>
      </w:r>
      <w:r w:rsidRPr="00271A7B">
        <w:rPr>
          <w:rFonts w:ascii="Times New Roman" w:hAnsi="Times New Roman" w:cs="Times New Roman"/>
          <w:sz w:val="32"/>
          <w:szCs w:val="32"/>
        </w:rPr>
        <w:t xml:space="preserve"> MiRNA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 xml:space="preserve"> matrix</w:t>
      </w:r>
      <w:r w:rsidRPr="00271A7B">
        <w:rPr>
          <w:rFonts w:ascii="Times New Roman" w:hAnsi="Times New Roman" w:cs="Times New Roman"/>
          <w:sz w:val="32"/>
          <w:szCs w:val="32"/>
        </w:rPr>
        <w:t xml:space="preserve"> (541x541)</w:t>
      </w:r>
    </w:p>
    <w:p w14:paraId="487EFCA1" w14:textId="4AAE97DA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</w:p>
    <w:p w14:paraId="27045BEA" w14:textId="32AE07E7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Drug similarity-PCA</w:t>
      </w:r>
      <w:r w:rsidRPr="00271A7B">
        <w:rPr>
          <w:rFonts w:ascii="Times New Roman" w:hAnsi="Times New Roman" w:cs="Times New Roman"/>
          <w:sz w:val="32"/>
          <w:szCs w:val="32"/>
        </w:rPr>
        <w:t xml:space="preserve">: </w:t>
      </w:r>
      <w:r w:rsidRPr="00271A7B">
        <w:rPr>
          <w:rFonts w:ascii="Times New Roman" w:hAnsi="Times New Roman" w:cs="Times New Roman"/>
          <w:sz w:val="32"/>
          <w:szCs w:val="32"/>
        </w:rPr>
        <w:t xml:space="preserve">Drug similarity matrix </w:t>
      </w:r>
      <w:r w:rsidRPr="00271A7B">
        <w:rPr>
          <w:rFonts w:ascii="Times New Roman" w:hAnsi="Times New Roman" w:cs="Times New Roman"/>
          <w:sz w:val="32"/>
          <w:szCs w:val="32"/>
        </w:rPr>
        <w:t xml:space="preserve">with reduced dimension </w:t>
      </w:r>
      <w:r w:rsidRPr="00271A7B">
        <w:rPr>
          <w:rFonts w:ascii="Times New Roman" w:hAnsi="Times New Roman" w:cs="Times New Roman"/>
          <w:sz w:val="32"/>
          <w:szCs w:val="32"/>
        </w:rPr>
        <w:t>(831x</w:t>
      </w:r>
      <w:r w:rsidRPr="00271A7B">
        <w:rPr>
          <w:rFonts w:ascii="Times New Roman" w:hAnsi="Times New Roman" w:cs="Times New Roman"/>
          <w:sz w:val="32"/>
          <w:szCs w:val="32"/>
        </w:rPr>
        <w:t>102</w:t>
      </w:r>
      <w:r w:rsidRPr="00271A7B">
        <w:rPr>
          <w:rFonts w:ascii="Times New Roman" w:hAnsi="Times New Roman" w:cs="Times New Roman"/>
          <w:sz w:val="32"/>
          <w:szCs w:val="32"/>
        </w:rPr>
        <w:t>)</w:t>
      </w:r>
    </w:p>
    <w:p w14:paraId="3FF2A6DC" w14:textId="50503976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MiRNA similarity</w:t>
      </w:r>
      <w:r w:rsidRPr="00271A7B">
        <w:rPr>
          <w:rFonts w:ascii="Times New Roman" w:hAnsi="Times New Roman" w:cs="Times New Roman"/>
          <w:sz w:val="32"/>
          <w:szCs w:val="32"/>
        </w:rPr>
        <w:t>-PCA:</w:t>
      </w:r>
      <w:r w:rsidRPr="00271A7B">
        <w:rPr>
          <w:rFonts w:ascii="Times New Roman" w:hAnsi="Times New Roman" w:cs="Times New Roman"/>
          <w:sz w:val="32"/>
          <w:szCs w:val="32"/>
        </w:rPr>
        <w:t xml:space="preserve"> MiRNA similarity </w:t>
      </w:r>
      <w:r w:rsidR="00E96B54" w:rsidRPr="00271A7B">
        <w:rPr>
          <w:rFonts w:ascii="Times New Roman" w:hAnsi="Times New Roman" w:cs="Times New Roman"/>
          <w:sz w:val="32"/>
          <w:szCs w:val="32"/>
        </w:rPr>
        <w:t xml:space="preserve">matrix with reduced dimension </w:t>
      </w:r>
      <w:r w:rsidRPr="00271A7B">
        <w:rPr>
          <w:rFonts w:ascii="Times New Roman" w:hAnsi="Times New Roman" w:cs="Times New Roman"/>
          <w:sz w:val="32"/>
          <w:szCs w:val="32"/>
        </w:rPr>
        <w:t>(541x</w:t>
      </w:r>
      <w:r w:rsidRPr="00271A7B">
        <w:rPr>
          <w:rFonts w:ascii="Times New Roman" w:hAnsi="Times New Roman" w:cs="Times New Roman"/>
          <w:sz w:val="32"/>
          <w:szCs w:val="32"/>
        </w:rPr>
        <w:t>100</w:t>
      </w:r>
      <w:r w:rsidRPr="00271A7B">
        <w:rPr>
          <w:rFonts w:ascii="Times New Roman" w:hAnsi="Times New Roman" w:cs="Times New Roman"/>
          <w:sz w:val="32"/>
          <w:szCs w:val="32"/>
        </w:rPr>
        <w:t>)</w:t>
      </w:r>
    </w:p>
    <w:p w14:paraId="30B9401B" w14:textId="77777777" w:rsidR="00E96B54" w:rsidRPr="00E96B54" w:rsidRDefault="00E96B54" w:rsidP="00D5245E">
      <w:pPr>
        <w:rPr>
          <w:rFonts w:ascii="Times New Roman" w:hAnsi="Times New Roman" w:cs="Times New Roman"/>
          <w:sz w:val="28"/>
          <w:szCs w:val="28"/>
        </w:rPr>
      </w:pPr>
    </w:p>
    <w:p w14:paraId="60628471" w14:textId="74F95E93" w:rsidR="00D5245E" w:rsidRPr="00E96B54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E96B54">
        <w:rPr>
          <w:rFonts w:ascii="Times New Roman" w:hAnsi="Times New Roman" w:cs="Times New Roman"/>
          <w:b/>
          <w:bCs/>
          <w:sz w:val="32"/>
          <w:szCs w:val="32"/>
        </w:rPr>
        <w:t>ELDMA.PY</w:t>
      </w:r>
      <w:r w:rsidRPr="00E96B54">
        <w:rPr>
          <w:rFonts w:ascii="Times New Roman" w:hAnsi="Times New Roman" w:cs="Times New Roman"/>
          <w:sz w:val="32"/>
          <w:szCs w:val="32"/>
        </w:rPr>
        <w:t xml:space="preserve">: Python </w:t>
      </w:r>
      <w:r w:rsidR="00E96B54">
        <w:rPr>
          <w:rFonts w:ascii="Times New Roman" w:hAnsi="Times New Roman" w:cs="Times New Roman"/>
          <w:sz w:val="32"/>
          <w:szCs w:val="32"/>
        </w:rPr>
        <w:t>file</w:t>
      </w:r>
      <w:r w:rsidRPr="00E96B54">
        <w:rPr>
          <w:rFonts w:ascii="Times New Roman" w:hAnsi="Times New Roman" w:cs="Times New Roman"/>
          <w:sz w:val="32"/>
          <w:szCs w:val="32"/>
        </w:rPr>
        <w:t xml:space="preserve"> to implement CNN-SVM. </w:t>
      </w:r>
      <w:r w:rsidR="00E96B54" w:rsidRPr="00E96B54">
        <w:rPr>
          <w:rFonts w:ascii="Times New Roman" w:hAnsi="Times New Roman" w:cs="Times New Roman"/>
          <w:sz w:val="32"/>
          <w:szCs w:val="32"/>
        </w:rPr>
        <w:t>Implemented the code using the Keras 2.3.1 library with TensorFlow as the back end (Version: 2.1.0)</w:t>
      </w:r>
    </w:p>
    <w:p w14:paraId="5971E60F" w14:textId="0C29F041" w:rsidR="00D5245E" w:rsidRPr="00D5245E" w:rsidRDefault="00D5245E" w:rsidP="00D5245E"/>
    <w:sectPr w:rsidR="00D5245E" w:rsidRPr="00D5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46"/>
    <w:rsid w:val="00271A7B"/>
    <w:rsid w:val="002D1146"/>
    <w:rsid w:val="005B6276"/>
    <w:rsid w:val="00D5245E"/>
    <w:rsid w:val="00E9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C30A"/>
  <w15:chartTrackingRefBased/>
  <w15:docId w15:val="{096D3D5D-BDE1-4DB6-90E8-1DE66133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2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2</cp:revision>
  <dcterms:created xsi:type="dcterms:W3CDTF">2020-10-21T14:32:00Z</dcterms:created>
  <dcterms:modified xsi:type="dcterms:W3CDTF">2020-10-21T16:51:00Z</dcterms:modified>
</cp:coreProperties>
</file>