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EE53" w14:textId="77777777" w:rsidR="00CF5469" w:rsidRDefault="00CF5469"/>
    <w:p w14:paraId="7700565E" w14:textId="3D4F476B" w:rsidR="000B0A86" w:rsidRPr="000B0A86" w:rsidRDefault="00DE2524" w:rsidP="000B0A86">
      <w:pPr>
        <w:pStyle w:val="Title"/>
        <w:spacing w:before="5000"/>
        <w:rPr>
          <w:lang w:val="en-IN"/>
        </w:rPr>
      </w:pPr>
      <w:r w:rsidRPr="00DE2524">
        <w:t>Excel Analysis and Scientific Report</w:t>
      </w:r>
      <w:r w:rsidR="006C5965">
        <w:t xml:space="preserve"> on </w:t>
      </w:r>
      <w:r w:rsidR="00D22918">
        <w:t xml:space="preserve">Victorian </w:t>
      </w:r>
      <w:r w:rsidR="000B0A86" w:rsidRPr="000B0A86">
        <w:rPr>
          <w:lang w:val="en-IN"/>
        </w:rPr>
        <w:t>Integrated Survey of Travel and Activity</w:t>
      </w:r>
    </w:p>
    <w:p w14:paraId="73BDACA1" w14:textId="62FE5818" w:rsidR="00CF5469" w:rsidRPr="001D6754" w:rsidRDefault="00CF5469" w:rsidP="00466EA3">
      <w:pPr>
        <w:pStyle w:val="Title"/>
        <w:spacing w:before="5000"/>
      </w:pPr>
    </w:p>
    <w:p w14:paraId="219A1614" w14:textId="77777777" w:rsidR="004B40BC" w:rsidRDefault="004B40BC"/>
    <w:p w14:paraId="4E9494BF" w14:textId="164B13F6" w:rsidR="00CF5469" w:rsidRPr="00253808" w:rsidRDefault="00CF54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807678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1B51C2" w14:textId="77777777" w:rsidR="00CF5469" w:rsidRDefault="00CF5469">
          <w:pPr>
            <w:pStyle w:val="TOCHeading"/>
          </w:pPr>
          <w:r>
            <w:t>Table of Contents</w:t>
          </w:r>
        </w:p>
        <w:p w14:paraId="741C484E" w14:textId="77777777" w:rsidR="00D76E1E" w:rsidRDefault="00CF54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34186" w:history="1">
            <w:r w:rsidR="00D76E1E" w:rsidRPr="007B5E60">
              <w:rPr>
                <w:rStyle w:val="Hyperlink"/>
                <w:noProof/>
              </w:rPr>
              <w:t>Introduction</w:t>
            </w:r>
            <w:r w:rsidR="00D76E1E">
              <w:rPr>
                <w:noProof/>
                <w:webHidden/>
              </w:rPr>
              <w:tab/>
            </w:r>
            <w:r w:rsidR="00D76E1E">
              <w:rPr>
                <w:noProof/>
                <w:webHidden/>
              </w:rPr>
              <w:fldChar w:fldCharType="begin"/>
            </w:r>
            <w:r w:rsidR="00D76E1E">
              <w:rPr>
                <w:noProof/>
                <w:webHidden/>
              </w:rPr>
              <w:instrText xml:space="preserve"> PAGEREF _Toc487534186 \h </w:instrText>
            </w:r>
            <w:r w:rsidR="00D76E1E">
              <w:rPr>
                <w:noProof/>
                <w:webHidden/>
              </w:rPr>
            </w:r>
            <w:r w:rsidR="00D76E1E">
              <w:rPr>
                <w:noProof/>
                <w:webHidden/>
              </w:rPr>
              <w:fldChar w:fldCharType="separate"/>
            </w:r>
            <w:r w:rsidR="00D76E1E">
              <w:rPr>
                <w:noProof/>
                <w:webHidden/>
              </w:rPr>
              <w:t>3</w:t>
            </w:r>
            <w:r w:rsidR="00D76E1E">
              <w:rPr>
                <w:noProof/>
                <w:webHidden/>
              </w:rPr>
              <w:fldChar w:fldCharType="end"/>
            </w:r>
          </w:hyperlink>
        </w:p>
        <w:p w14:paraId="7C0EC774" w14:textId="77777777" w:rsidR="00D76E1E" w:rsidRDefault="002538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7534187" w:history="1">
            <w:r w:rsidR="00D76E1E" w:rsidRPr="007B5E60">
              <w:rPr>
                <w:rStyle w:val="Hyperlink"/>
                <w:noProof/>
              </w:rPr>
              <w:t>Methods</w:t>
            </w:r>
            <w:r w:rsidR="00D76E1E">
              <w:rPr>
                <w:noProof/>
                <w:webHidden/>
              </w:rPr>
              <w:tab/>
            </w:r>
            <w:r w:rsidR="00D76E1E">
              <w:rPr>
                <w:noProof/>
                <w:webHidden/>
              </w:rPr>
              <w:fldChar w:fldCharType="begin"/>
            </w:r>
            <w:r w:rsidR="00D76E1E">
              <w:rPr>
                <w:noProof/>
                <w:webHidden/>
              </w:rPr>
              <w:instrText xml:space="preserve"> PAGEREF _Toc487534187 \h </w:instrText>
            </w:r>
            <w:r w:rsidR="00D76E1E">
              <w:rPr>
                <w:noProof/>
                <w:webHidden/>
              </w:rPr>
            </w:r>
            <w:r w:rsidR="00D76E1E">
              <w:rPr>
                <w:noProof/>
                <w:webHidden/>
              </w:rPr>
              <w:fldChar w:fldCharType="separate"/>
            </w:r>
            <w:r w:rsidR="00D76E1E">
              <w:rPr>
                <w:noProof/>
                <w:webHidden/>
              </w:rPr>
              <w:t>3</w:t>
            </w:r>
            <w:r w:rsidR="00D76E1E">
              <w:rPr>
                <w:noProof/>
                <w:webHidden/>
              </w:rPr>
              <w:fldChar w:fldCharType="end"/>
            </w:r>
          </w:hyperlink>
        </w:p>
        <w:p w14:paraId="5E06955D" w14:textId="77777777" w:rsidR="00D76E1E" w:rsidRDefault="002538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7534188" w:history="1">
            <w:r w:rsidR="00D76E1E" w:rsidRPr="007B5E60">
              <w:rPr>
                <w:rStyle w:val="Hyperlink"/>
                <w:noProof/>
              </w:rPr>
              <w:t>Results</w:t>
            </w:r>
            <w:r w:rsidR="00D76E1E">
              <w:rPr>
                <w:noProof/>
                <w:webHidden/>
              </w:rPr>
              <w:tab/>
            </w:r>
            <w:r w:rsidR="00D76E1E">
              <w:rPr>
                <w:noProof/>
                <w:webHidden/>
              </w:rPr>
              <w:fldChar w:fldCharType="begin"/>
            </w:r>
            <w:r w:rsidR="00D76E1E">
              <w:rPr>
                <w:noProof/>
                <w:webHidden/>
              </w:rPr>
              <w:instrText xml:space="preserve"> PAGEREF _Toc487534188 \h </w:instrText>
            </w:r>
            <w:r w:rsidR="00D76E1E">
              <w:rPr>
                <w:noProof/>
                <w:webHidden/>
              </w:rPr>
            </w:r>
            <w:r w:rsidR="00D76E1E">
              <w:rPr>
                <w:noProof/>
                <w:webHidden/>
              </w:rPr>
              <w:fldChar w:fldCharType="separate"/>
            </w:r>
            <w:r w:rsidR="00D76E1E">
              <w:rPr>
                <w:noProof/>
                <w:webHidden/>
              </w:rPr>
              <w:t>3</w:t>
            </w:r>
            <w:r w:rsidR="00D76E1E">
              <w:rPr>
                <w:noProof/>
                <w:webHidden/>
              </w:rPr>
              <w:fldChar w:fldCharType="end"/>
            </w:r>
          </w:hyperlink>
        </w:p>
        <w:p w14:paraId="3D9D041A" w14:textId="77777777" w:rsidR="00D76E1E" w:rsidRDefault="002538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7534189" w:history="1">
            <w:r w:rsidR="00D76E1E" w:rsidRPr="007B5E60">
              <w:rPr>
                <w:rStyle w:val="Hyperlink"/>
                <w:noProof/>
              </w:rPr>
              <w:t>Conclusion</w:t>
            </w:r>
            <w:r w:rsidR="00D76E1E">
              <w:rPr>
                <w:noProof/>
                <w:webHidden/>
              </w:rPr>
              <w:tab/>
            </w:r>
            <w:r w:rsidR="00D76E1E">
              <w:rPr>
                <w:noProof/>
                <w:webHidden/>
              </w:rPr>
              <w:fldChar w:fldCharType="begin"/>
            </w:r>
            <w:r w:rsidR="00D76E1E">
              <w:rPr>
                <w:noProof/>
                <w:webHidden/>
              </w:rPr>
              <w:instrText xml:space="preserve"> PAGEREF _Toc487534189 \h </w:instrText>
            </w:r>
            <w:r w:rsidR="00D76E1E">
              <w:rPr>
                <w:noProof/>
                <w:webHidden/>
              </w:rPr>
            </w:r>
            <w:r w:rsidR="00D76E1E">
              <w:rPr>
                <w:noProof/>
                <w:webHidden/>
              </w:rPr>
              <w:fldChar w:fldCharType="separate"/>
            </w:r>
            <w:r w:rsidR="00D76E1E">
              <w:rPr>
                <w:noProof/>
                <w:webHidden/>
              </w:rPr>
              <w:t>5</w:t>
            </w:r>
            <w:r w:rsidR="00D76E1E">
              <w:rPr>
                <w:noProof/>
                <w:webHidden/>
              </w:rPr>
              <w:fldChar w:fldCharType="end"/>
            </w:r>
          </w:hyperlink>
        </w:p>
        <w:p w14:paraId="4BB321D3" w14:textId="77777777" w:rsidR="00D76E1E" w:rsidRDefault="002538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7534190" w:history="1">
            <w:r w:rsidR="00D76E1E" w:rsidRPr="007B5E60">
              <w:rPr>
                <w:rStyle w:val="Hyperlink"/>
                <w:noProof/>
              </w:rPr>
              <w:t>References</w:t>
            </w:r>
            <w:r w:rsidR="00D76E1E">
              <w:rPr>
                <w:noProof/>
                <w:webHidden/>
              </w:rPr>
              <w:tab/>
            </w:r>
            <w:r w:rsidR="00D76E1E">
              <w:rPr>
                <w:noProof/>
                <w:webHidden/>
              </w:rPr>
              <w:fldChar w:fldCharType="begin"/>
            </w:r>
            <w:r w:rsidR="00D76E1E">
              <w:rPr>
                <w:noProof/>
                <w:webHidden/>
              </w:rPr>
              <w:instrText xml:space="preserve"> PAGEREF _Toc487534190 \h </w:instrText>
            </w:r>
            <w:r w:rsidR="00D76E1E">
              <w:rPr>
                <w:noProof/>
                <w:webHidden/>
              </w:rPr>
            </w:r>
            <w:r w:rsidR="00D76E1E">
              <w:rPr>
                <w:noProof/>
                <w:webHidden/>
              </w:rPr>
              <w:fldChar w:fldCharType="separate"/>
            </w:r>
            <w:r w:rsidR="00D76E1E">
              <w:rPr>
                <w:noProof/>
                <w:webHidden/>
              </w:rPr>
              <w:t>6</w:t>
            </w:r>
            <w:r w:rsidR="00D76E1E">
              <w:rPr>
                <w:noProof/>
                <w:webHidden/>
              </w:rPr>
              <w:fldChar w:fldCharType="end"/>
            </w:r>
          </w:hyperlink>
        </w:p>
        <w:p w14:paraId="58555D61" w14:textId="77777777" w:rsidR="00073442" w:rsidRDefault="00CF546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6D8217" w14:textId="77777777" w:rsidR="00073442" w:rsidRDefault="00073442">
      <w:pPr>
        <w:pStyle w:val="TableofFigures"/>
        <w:tabs>
          <w:tab w:val="right" w:leader="dot" w:pos="9016"/>
        </w:tabs>
      </w:pPr>
    </w:p>
    <w:p w14:paraId="7FAAE6F5" w14:textId="3D2070DC" w:rsidR="00073442" w:rsidRDefault="00073442" w:rsidP="00073442">
      <w:pPr>
        <w:pStyle w:val="TOCHeading"/>
      </w:pPr>
      <w:r>
        <w:t>Table of Figures</w:t>
      </w:r>
    </w:p>
    <w:p w14:paraId="565C7E83" w14:textId="3B246E5E" w:rsidR="00073442" w:rsidRDefault="00073442" w:rsidP="00B2738B">
      <w:pPr>
        <w:pStyle w:val="TableofFigures"/>
        <w:tabs>
          <w:tab w:val="right" w:leader="dot" w:pos="9016"/>
        </w:tabs>
        <w:spacing w:line="480" w:lineRule="auto"/>
        <w:rPr>
          <w:rFonts w:eastAsiaTheme="minorEastAsia"/>
          <w:noProof/>
          <w:kern w:val="2"/>
          <w:sz w:val="24"/>
          <w:szCs w:val="24"/>
          <w:lang w:val="en-IN" w:eastAsia="en-GB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3888486" w:history="1">
        <w:r w:rsidRPr="00771910">
          <w:rPr>
            <w:rStyle w:val="Hyperlink"/>
            <w:noProof/>
          </w:rPr>
          <w:t xml:space="preserve">Figure 1: </w:t>
        </w:r>
        <w:r w:rsidRPr="00771910">
          <w:rPr>
            <w:rStyle w:val="Hyperlink"/>
            <w:noProof/>
            <w:lang w:val="en-GB"/>
          </w:rPr>
          <w:t>PivotChart shows the average household income for the survey participants over time.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_Toc143888486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6E4972" w14:textId="725919E9" w:rsidR="00073442" w:rsidRDefault="00253808" w:rsidP="00B2738B">
      <w:pPr>
        <w:pStyle w:val="TableofFigures"/>
        <w:tabs>
          <w:tab w:val="right" w:leader="dot" w:pos="9016"/>
        </w:tabs>
        <w:spacing w:line="480" w:lineRule="auto"/>
        <w:rPr>
          <w:rFonts w:eastAsiaTheme="minorEastAsia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43888487" w:history="1">
        <w:r w:rsidR="00073442" w:rsidRPr="00771910">
          <w:rPr>
            <w:rStyle w:val="Hyperlink"/>
            <w:noProof/>
          </w:rPr>
          <w:t>Figure 2: Shows the travel pattern during weekdays and weekends across different sub-regions.</w:t>
        </w:r>
        <w:r w:rsidR="00073442">
          <w:rPr>
            <w:noProof/>
            <w:webHidden/>
          </w:rPr>
          <w:tab/>
        </w:r>
        <w:r w:rsidR="00073442">
          <w:rPr>
            <w:noProof/>
            <w:webHidden/>
          </w:rPr>
          <w:fldChar w:fldCharType="begin"/>
        </w:r>
        <w:r w:rsidR="00073442">
          <w:rPr>
            <w:noProof/>
            <w:webHidden/>
          </w:rPr>
          <w:instrText xml:space="preserve"> PAGEREF _Toc143888487 \h </w:instrText>
        </w:r>
        <w:r w:rsidR="00073442">
          <w:rPr>
            <w:noProof/>
            <w:webHidden/>
          </w:rPr>
        </w:r>
        <w:r w:rsidR="00073442">
          <w:rPr>
            <w:noProof/>
            <w:webHidden/>
          </w:rPr>
          <w:fldChar w:fldCharType="separate"/>
        </w:r>
        <w:r w:rsidR="00073442">
          <w:rPr>
            <w:noProof/>
            <w:webHidden/>
          </w:rPr>
          <w:t>5</w:t>
        </w:r>
        <w:r w:rsidR="00073442">
          <w:rPr>
            <w:noProof/>
            <w:webHidden/>
          </w:rPr>
          <w:fldChar w:fldCharType="end"/>
        </w:r>
      </w:hyperlink>
    </w:p>
    <w:p w14:paraId="63047CCB" w14:textId="50AB72D7" w:rsidR="00073442" w:rsidRDefault="00253808" w:rsidP="00B2738B">
      <w:pPr>
        <w:pStyle w:val="TableofFigures"/>
        <w:tabs>
          <w:tab w:val="right" w:leader="dot" w:pos="9016"/>
        </w:tabs>
        <w:spacing w:line="480" w:lineRule="auto"/>
        <w:rPr>
          <w:rFonts w:eastAsiaTheme="minorEastAsia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43888488" w:history="1">
        <w:r w:rsidR="00073442" w:rsidRPr="00771910">
          <w:rPr>
            <w:rStyle w:val="Hyperlink"/>
            <w:noProof/>
          </w:rPr>
          <w:t>Figure 3 : Comparison of the average household income and the Dwelling status across different types of dwellings</w:t>
        </w:r>
        <w:r w:rsidR="00073442">
          <w:rPr>
            <w:noProof/>
            <w:webHidden/>
          </w:rPr>
          <w:tab/>
        </w:r>
        <w:r w:rsidR="00073442">
          <w:rPr>
            <w:noProof/>
            <w:webHidden/>
          </w:rPr>
          <w:fldChar w:fldCharType="begin"/>
        </w:r>
        <w:r w:rsidR="00073442">
          <w:rPr>
            <w:noProof/>
            <w:webHidden/>
          </w:rPr>
          <w:instrText xml:space="preserve"> PAGEREF _Toc143888488 \h </w:instrText>
        </w:r>
        <w:r w:rsidR="00073442">
          <w:rPr>
            <w:noProof/>
            <w:webHidden/>
          </w:rPr>
        </w:r>
        <w:r w:rsidR="00073442">
          <w:rPr>
            <w:noProof/>
            <w:webHidden/>
          </w:rPr>
          <w:fldChar w:fldCharType="separate"/>
        </w:r>
        <w:r w:rsidR="00073442">
          <w:rPr>
            <w:noProof/>
            <w:webHidden/>
          </w:rPr>
          <w:t>6</w:t>
        </w:r>
        <w:r w:rsidR="00073442">
          <w:rPr>
            <w:noProof/>
            <w:webHidden/>
          </w:rPr>
          <w:fldChar w:fldCharType="end"/>
        </w:r>
      </w:hyperlink>
    </w:p>
    <w:p w14:paraId="24583384" w14:textId="77777777" w:rsidR="00073442" w:rsidRDefault="00073442">
      <w:r>
        <w:fldChar w:fldCharType="end"/>
      </w:r>
    </w:p>
    <w:p w14:paraId="4A6FB6D4" w14:textId="174DD36B" w:rsidR="00073442" w:rsidRDefault="00073442" w:rsidP="00073442">
      <w:pPr>
        <w:pStyle w:val="TOCHeading"/>
      </w:pPr>
      <w:r>
        <w:t>Table of Tables</w:t>
      </w:r>
    </w:p>
    <w:p w14:paraId="1F4C3A5A" w14:textId="75F99E9E" w:rsidR="00073442" w:rsidRDefault="00073442" w:rsidP="00B2738B">
      <w:pPr>
        <w:pStyle w:val="TableofFigures"/>
        <w:tabs>
          <w:tab w:val="right" w:leader="dot" w:pos="9016"/>
        </w:tabs>
        <w:spacing w:line="480" w:lineRule="auto"/>
        <w:rPr>
          <w:rFonts w:eastAsiaTheme="minorEastAsia"/>
          <w:noProof/>
          <w:kern w:val="2"/>
          <w:sz w:val="24"/>
          <w:szCs w:val="24"/>
          <w:lang w:val="en-IN" w:eastAsia="en-GB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3888507" w:history="1">
        <w:r w:rsidRPr="007B0FB7">
          <w:rPr>
            <w:rStyle w:val="Hyperlink"/>
            <w:noProof/>
          </w:rPr>
          <w:t xml:space="preserve">Table 1: </w:t>
        </w:r>
        <w:r w:rsidRPr="007B0FB7">
          <w:rPr>
            <w:rStyle w:val="Hyperlink"/>
            <w:noProof/>
            <w:lang w:val="en-GB"/>
          </w:rPr>
          <w:t>Compares the number of households from Victoria participating in the study with a comparison of the average age across the sub-regions.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_Toc143888507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6747DE" w14:textId="129CA8B3" w:rsidR="00073442" w:rsidRDefault="00253808" w:rsidP="00B2738B">
      <w:pPr>
        <w:pStyle w:val="TableofFigures"/>
        <w:tabs>
          <w:tab w:val="right" w:leader="dot" w:pos="9016"/>
        </w:tabs>
        <w:spacing w:line="480" w:lineRule="auto"/>
        <w:rPr>
          <w:rFonts w:eastAsiaTheme="minorEastAsia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43888508" w:history="1">
        <w:r w:rsidR="00073442" w:rsidRPr="007B0FB7">
          <w:rPr>
            <w:rStyle w:val="Hyperlink"/>
            <w:noProof/>
          </w:rPr>
          <w:t>Table 2: percentage of the total number of households for each year for each subregion</w:t>
        </w:r>
        <w:r w:rsidR="00073442" w:rsidRPr="007B0FB7">
          <w:rPr>
            <w:rStyle w:val="Hyperlink"/>
            <w:rFonts w:ascii="Times New Roman" w:hAnsi="Times New Roman" w:cs="Times New Roman"/>
            <w:noProof/>
            <w:lang w:val="en-GB"/>
          </w:rPr>
          <w:t>.</w:t>
        </w:r>
        <w:r w:rsidR="00073442">
          <w:rPr>
            <w:noProof/>
            <w:webHidden/>
          </w:rPr>
          <w:tab/>
        </w:r>
        <w:r w:rsidR="00073442">
          <w:rPr>
            <w:noProof/>
            <w:webHidden/>
          </w:rPr>
          <w:fldChar w:fldCharType="begin"/>
        </w:r>
        <w:r w:rsidR="00073442">
          <w:rPr>
            <w:noProof/>
            <w:webHidden/>
          </w:rPr>
          <w:instrText xml:space="preserve"> PAGEREF _Toc143888508 \h </w:instrText>
        </w:r>
        <w:r w:rsidR="00073442">
          <w:rPr>
            <w:noProof/>
            <w:webHidden/>
          </w:rPr>
        </w:r>
        <w:r w:rsidR="00073442">
          <w:rPr>
            <w:noProof/>
            <w:webHidden/>
          </w:rPr>
          <w:fldChar w:fldCharType="separate"/>
        </w:r>
        <w:r w:rsidR="00073442">
          <w:rPr>
            <w:noProof/>
            <w:webHidden/>
          </w:rPr>
          <w:t>4</w:t>
        </w:r>
        <w:r w:rsidR="00073442">
          <w:rPr>
            <w:noProof/>
            <w:webHidden/>
          </w:rPr>
          <w:fldChar w:fldCharType="end"/>
        </w:r>
      </w:hyperlink>
    </w:p>
    <w:p w14:paraId="773CD9D3" w14:textId="386CCDBA" w:rsidR="00073442" w:rsidRDefault="00253808" w:rsidP="00B2738B">
      <w:pPr>
        <w:pStyle w:val="TableofFigures"/>
        <w:tabs>
          <w:tab w:val="right" w:leader="dot" w:pos="9016"/>
        </w:tabs>
        <w:spacing w:line="480" w:lineRule="auto"/>
        <w:rPr>
          <w:rFonts w:eastAsiaTheme="minorEastAsia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43888509" w:history="1">
        <w:r w:rsidR="00073442" w:rsidRPr="007B0FB7">
          <w:rPr>
            <w:rStyle w:val="Hyperlink"/>
            <w:noProof/>
          </w:rPr>
          <w:t>Table 3: The percentage of households having vehicles in different sub-regions of Victoria.</w:t>
        </w:r>
        <w:r w:rsidR="00073442">
          <w:rPr>
            <w:noProof/>
            <w:webHidden/>
          </w:rPr>
          <w:tab/>
        </w:r>
        <w:r w:rsidR="00073442">
          <w:rPr>
            <w:noProof/>
            <w:webHidden/>
          </w:rPr>
          <w:fldChar w:fldCharType="begin"/>
        </w:r>
        <w:r w:rsidR="00073442">
          <w:rPr>
            <w:noProof/>
            <w:webHidden/>
          </w:rPr>
          <w:instrText xml:space="preserve"> PAGEREF _Toc143888509 \h </w:instrText>
        </w:r>
        <w:r w:rsidR="00073442">
          <w:rPr>
            <w:noProof/>
            <w:webHidden/>
          </w:rPr>
        </w:r>
        <w:r w:rsidR="00073442">
          <w:rPr>
            <w:noProof/>
            <w:webHidden/>
          </w:rPr>
          <w:fldChar w:fldCharType="separate"/>
        </w:r>
        <w:r w:rsidR="00073442">
          <w:rPr>
            <w:noProof/>
            <w:webHidden/>
          </w:rPr>
          <w:t>5</w:t>
        </w:r>
        <w:r w:rsidR="00073442">
          <w:rPr>
            <w:noProof/>
            <w:webHidden/>
          </w:rPr>
          <w:fldChar w:fldCharType="end"/>
        </w:r>
      </w:hyperlink>
    </w:p>
    <w:p w14:paraId="747D6D1C" w14:textId="3FA4CDF6" w:rsidR="00073442" w:rsidRDefault="00253808" w:rsidP="00B2738B">
      <w:pPr>
        <w:pStyle w:val="TableofFigures"/>
        <w:tabs>
          <w:tab w:val="right" w:leader="dot" w:pos="9016"/>
        </w:tabs>
        <w:spacing w:line="480" w:lineRule="auto"/>
        <w:rPr>
          <w:rFonts w:eastAsiaTheme="minorEastAsia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43888510" w:history="1">
        <w:r w:rsidR="00073442" w:rsidRPr="007B0FB7">
          <w:rPr>
            <w:rStyle w:val="Hyperlink"/>
            <w:noProof/>
          </w:rPr>
          <w:t>Table 4: Comparison between the no of households and the vehicles they own</w:t>
        </w:r>
        <w:r w:rsidR="00073442">
          <w:rPr>
            <w:noProof/>
            <w:webHidden/>
          </w:rPr>
          <w:tab/>
        </w:r>
        <w:r w:rsidR="00073442">
          <w:rPr>
            <w:noProof/>
            <w:webHidden/>
          </w:rPr>
          <w:fldChar w:fldCharType="begin"/>
        </w:r>
        <w:r w:rsidR="00073442">
          <w:rPr>
            <w:noProof/>
            <w:webHidden/>
          </w:rPr>
          <w:instrText xml:space="preserve"> PAGEREF _Toc143888510 \h </w:instrText>
        </w:r>
        <w:r w:rsidR="00073442">
          <w:rPr>
            <w:noProof/>
            <w:webHidden/>
          </w:rPr>
        </w:r>
        <w:r w:rsidR="00073442">
          <w:rPr>
            <w:noProof/>
            <w:webHidden/>
          </w:rPr>
          <w:fldChar w:fldCharType="separate"/>
        </w:r>
        <w:r w:rsidR="00073442">
          <w:rPr>
            <w:noProof/>
            <w:webHidden/>
          </w:rPr>
          <w:t>6</w:t>
        </w:r>
        <w:r w:rsidR="00073442">
          <w:rPr>
            <w:noProof/>
            <w:webHidden/>
          </w:rPr>
          <w:fldChar w:fldCharType="end"/>
        </w:r>
      </w:hyperlink>
    </w:p>
    <w:p w14:paraId="0ACFB5F3" w14:textId="508D88B6" w:rsidR="00073442" w:rsidRDefault="00253808" w:rsidP="00B2738B">
      <w:pPr>
        <w:pStyle w:val="TableofFigures"/>
        <w:tabs>
          <w:tab w:val="right" w:leader="dot" w:pos="9016"/>
        </w:tabs>
        <w:spacing w:line="480" w:lineRule="auto"/>
        <w:rPr>
          <w:rFonts w:eastAsiaTheme="minorEastAsia"/>
          <w:noProof/>
          <w:kern w:val="2"/>
          <w:sz w:val="24"/>
          <w:szCs w:val="24"/>
          <w:lang w:val="en-IN" w:eastAsia="en-GB"/>
          <w14:ligatures w14:val="standardContextual"/>
        </w:rPr>
      </w:pPr>
      <w:hyperlink w:anchor="_Toc143888511" w:history="1">
        <w:r w:rsidR="00073442" w:rsidRPr="007B0FB7">
          <w:rPr>
            <w:rStyle w:val="Hyperlink"/>
            <w:noProof/>
          </w:rPr>
          <w:t>Table 5: % of households having bikes in different Sub regions of Victoria.</w:t>
        </w:r>
        <w:r w:rsidR="00073442">
          <w:rPr>
            <w:noProof/>
            <w:webHidden/>
          </w:rPr>
          <w:tab/>
        </w:r>
        <w:r w:rsidR="00073442">
          <w:rPr>
            <w:noProof/>
            <w:webHidden/>
          </w:rPr>
          <w:fldChar w:fldCharType="begin"/>
        </w:r>
        <w:r w:rsidR="00073442">
          <w:rPr>
            <w:noProof/>
            <w:webHidden/>
          </w:rPr>
          <w:instrText xml:space="preserve"> PAGEREF _Toc143888511 \h </w:instrText>
        </w:r>
        <w:r w:rsidR="00073442">
          <w:rPr>
            <w:noProof/>
            <w:webHidden/>
          </w:rPr>
        </w:r>
        <w:r w:rsidR="00073442">
          <w:rPr>
            <w:noProof/>
            <w:webHidden/>
          </w:rPr>
          <w:fldChar w:fldCharType="separate"/>
        </w:r>
        <w:r w:rsidR="00073442">
          <w:rPr>
            <w:noProof/>
            <w:webHidden/>
          </w:rPr>
          <w:t>6</w:t>
        </w:r>
        <w:r w:rsidR="00073442">
          <w:rPr>
            <w:noProof/>
            <w:webHidden/>
          </w:rPr>
          <w:fldChar w:fldCharType="end"/>
        </w:r>
      </w:hyperlink>
    </w:p>
    <w:p w14:paraId="647F8751" w14:textId="5D83D89C" w:rsidR="00CF5469" w:rsidRPr="00073442" w:rsidRDefault="00073442">
      <w:r>
        <w:fldChar w:fldCharType="end"/>
      </w:r>
      <w:r w:rsidR="00CF5469">
        <w:br w:type="page"/>
      </w:r>
    </w:p>
    <w:p w14:paraId="0B772664" w14:textId="77777777" w:rsidR="00195639" w:rsidRDefault="007D126C" w:rsidP="007D126C">
      <w:pPr>
        <w:pStyle w:val="Heading1"/>
      </w:pPr>
      <w:bookmarkStart w:id="0" w:name="_Toc487534186"/>
      <w:r>
        <w:lastRenderedPageBreak/>
        <w:t>Introduction</w:t>
      </w:r>
      <w:bookmarkEnd w:id="0"/>
    </w:p>
    <w:p w14:paraId="4C838B93" w14:textId="6149A3E8" w:rsidR="000C0592" w:rsidRPr="004B0A36" w:rsidRDefault="004E4C80" w:rsidP="007D126C">
      <w:pPr>
        <w:rPr>
          <w:iCs/>
        </w:rPr>
      </w:pPr>
      <w:r>
        <w:rPr>
          <w:iCs/>
        </w:rPr>
        <w:t>The households in Victoria</w:t>
      </w:r>
      <w:r w:rsidR="00173E19">
        <w:rPr>
          <w:iCs/>
        </w:rPr>
        <w:t xml:space="preserve"> use different modes of transportation to reach their destination.</w:t>
      </w:r>
      <w:r w:rsidR="00433EE8">
        <w:rPr>
          <w:iCs/>
        </w:rPr>
        <w:t xml:space="preserve"> </w:t>
      </w:r>
      <w:r w:rsidR="007F5BC1">
        <w:rPr>
          <w:iCs/>
        </w:rPr>
        <w:t xml:space="preserve">This information </w:t>
      </w:r>
      <w:r w:rsidR="00787C8E">
        <w:rPr>
          <w:iCs/>
        </w:rPr>
        <w:t xml:space="preserve">can be used by the Victorian </w:t>
      </w:r>
      <w:r w:rsidR="005E52DE">
        <w:rPr>
          <w:iCs/>
        </w:rPr>
        <w:t>government</w:t>
      </w:r>
      <w:r w:rsidR="00787C8E">
        <w:rPr>
          <w:iCs/>
        </w:rPr>
        <w:t xml:space="preserve"> to make </w:t>
      </w:r>
      <w:r w:rsidR="002C3DA3">
        <w:rPr>
          <w:iCs/>
        </w:rPr>
        <w:t xml:space="preserve">informed </w:t>
      </w:r>
      <w:r w:rsidR="005E52DE">
        <w:rPr>
          <w:iCs/>
        </w:rPr>
        <w:t>transport and land-use planning decisions.</w:t>
      </w:r>
      <w:r w:rsidR="00324C2B">
        <w:rPr>
          <w:iCs/>
        </w:rPr>
        <w:t xml:space="preserve"> </w:t>
      </w:r>
      <w:r w:rsidR="00433EE8">
        <w:rPr>
          <w:iCs/>
        </w:rPr>
        <w:t xml:space="preserve">This study aims to profile the different </w:t>
      </w:r>
      <w:r w:rsidR="006E1BF4">
        <w:rPr>
          <w:iCs/>
        </w:rPr>
        <w:t>households</w:t>
      </w:r>
      <w:r w:rsidR="00BA0529">
        <w:rPr>
          <w:iCs/>
        </w:rPr>
        <w:t xml:space="preserve"> in Melbourne and periodically Geelong</w:t>
      </w:r>
      <w:r w:rsidR="00433EE8">
        <w:rPr>
          <w:iCs/>
        </w:rPr>
        <w:t xml:space="preserve"> and identify the</w:t>
      </w:r>
      <w:r w:rsidR="006425B8">
        <w:rPr>
          <w:iCs/>
        </w:rPr>
        <w:t>ir travel behaviour</w:t>
      </w:r>
      <w:r w:rsidR="00787C8E">
        <w:rPr>
          <w:iCs/>
        </w:rPr>
        <w:t>.</w:t>
      </w:r>
      <w:r w:rsidR="008E3B27">
        <w:rPr>
          <w:iCs/>
        </w:rPr>
        <w:t xml:space="preserve"> It is expected to notice a significant </w:t>
      </w:r>
      <w:r w:rsidR="00755D2F">
        <w:rPr>
          <w:iCs/>
        </w:rPr>
        <w:t>difference in the travel behaviour</w:t>
      </w:r>
      <w:r w:rsidR="00145D5D">
        <w:rPr>
          <w:iCs/>
        </w:rPr>
        <w:t xml:space="preserve"> between weekdays and weekends</w:t>
      </w:r>
      <w:r w:rsidR="00755D2F">
        <w:rPr>
          <w:iCs/>
        </w:rPr>
        <w:t xml:space="preserve"> </w:t>
      </w:r>
      <w:r w:rsidR="00D20721">
        <w:rPr>
          <w:iCs/>
        </w:rPr>
        <w:t>in the various subregions</w:t>
      </w:r>
      <w:r w:rsidR="00462F4B">
        <w:rPr>
          <w:iCs/>
        </w:rPr>
        <w:t>.</w:t>
      </w:r>
      <w:r w:rsidR="00334BFC">
        <w:rPr>
          <w:iCs/>
        </w:rPr>
        <w:t xml:space="preserve"> It is also expected that the </w:t>
      </w:r>
      <w:r w:rsidR="00D22DF1">
        <w:rPr>
          <w:iCs/>
        </w:rPr>
        <w:t xml:space="preserve">no of vehicles owned by the households will increase with the increase in the size of the </w:t>
      </w:r>
      <w:r w:rsidR="000D3BE3">
        <w:rPr>
          <w:iCs/>
        </w:rPr>
        <w:t>household.</w:t>
      </w:r>
      <w:r w:rsidR="00363B17">
        <w:rPr>
          <w:iCs/>
        </w:rPr>
        <w:t xml:space="preserve"> The study also aims to identify the </w:t>
      </w:r>
      <w:r w:rsidR="001D4262">
        <w:rPr>
          <w:iCs/>
        </w:rPr>
        <w:t>preferences and</w:t>
      </w:r>
      <w:r w:rsidR="00360A56">
        <w:rPr>
          <w:iCs/>
        </w:rPr>
        <w:t xml:space="preserve"> ownership status </w:t>
      </w:r>
      <w:r w:rsidR="00C07337">
        <w:rPr>
          <w:iCs/>
        </w:rPr>
        <w:t>of the dwellings based on the</w:t>
      </w:r>
      <w:r w:rsidR="00367F46">
        <w:rPr>
          <w:iCs/>
        </w:rPr>
        <w:t xml:space="preserve"> average</w:t>
      </w:r>
      <w:r w:rsidR="00C07337">
        <w:rPr>
          <w:iCs/>
        </w:rPr>
        <w:t xml:space="preserve"> household income.</w:t>
      </w:r>
    </w:p>
    <w:p w14:paraId="6D8E53CD" w14:textId="77777777" w:rsidR="007D126C" w:rsidRDefault="007D126C" w:rsidP="007D126C">
      <w:pPr>
        <w:pStyle w:val="Heading1"/>
      </w:pPr>
      <w:bookmarkStart w:id="1" w:name="_Toc487534187"/>
      <w:r>
        <w:t>Methods</w:t>
      </w:r>
      <w:bookmarkEnd w:id="1"/>
    </w:p>
    <w:p w14:paraId="4442E0F4" w14:textId="77777777" w:rsidR="00771204" w:rsidRDefault="00771204" w:rsidP="00771204"/>
    <w:p w14:paraId="253828D9" w14:textId="04165F08" w:rsidR="000C0592" w:rsidRDefault="00E67FAE" w:rsidP="007D126C">
      <w:r>
        <w:t xml:space="preserve">The analysis is based on the </w:t>
      </w:r>
      <w:r w:rsidR="00B51134">
        <w:t xml:space="preserve">VISTA Household dataset </w:t>
      </w:r>
      <w:sdt>
        <w:sdtPr>
          <w:id w:val="967327549"/>
          <w:citation/>
        </w:sdtPr>
        <w:sdtEndPr/>
        <w:sdtContent>
          <w:r w:rsidR="00BC4959" w:rsidRPr="00BC4959">
            <w:fldChar w:fldCharType="begin"/>
          </w:r>
          <w:r w:rsidR="00BC4959" w:rsidRPr="00BC4959">
            <w:rPr>
              <w:lang w:val="en-US"/>
            </w:rPr>
            <w:instrText xml:space="preserve"> CITATION Vic07 \l 1033 </w:instrText>
          </w:r>
          <w:r w:rsidR="00BC4959" w:rsidRPr="00BC4959">
            <w:fldChar w:fldCharType="separate"/>
          </w:r>
          <w:r w:rsidR="00BC4959" w:rsidRPr="00BC4959">
            <w:rPr>
              <w:lang w:val="en-US"/>
            </w:rPr>
            <w:t>(Victoria 2007)</w:t>
          </w:r>
          <w:r w:rsidR="00BC4959" w:rsidRPr="00BC4959">
            <w:fldChar w:fldCharType="end"/>
          </w:r>
        </w:sdtContent>
      </w:sdt>
      <w:r w:rsidR="00BC4959">
        <w:t xml:space="preserve"> </w:t>
      </w:r>
      <w:r w:rsidR="00355803">
        <w:t xml:space="preserve">published </w:t>
      </w:r>
      <w:r w:rsidR="00251E6C">
        <w:t xml:space="preserve">on the Victoria State Government </w:t>
      </w:r>
      <w:r w:rsidR="009A0E7B">
        <w:t>Website(URL</w:t>
      </w:r>
      <w:r w:rsidR="004A4F12">
        <w:t xml:space="preserve"> and details provided in the Reference Section)</w:t>
      </w:r>
      <w:r w:rsidR="007C5E55">
        <w:t>. The</w:t>
      </w:r>
      <w:r w:rsidR="007B63E6">
        <w:t xml:space="preserve"> data consists of information from 30</w:t>
      </w:r>
      <w:r w:rsidR="007C5E55">
        <w:t>,</w:t>
      </w:r>
      <w:r w:rsidR="0013325E">
        <w:t>195 households in Melbourne and Geelong between the years 2012 to 2020</w:t>
      </w:r>
      <w:r w:rsidR="007C5E55">
        <w:t xml:space="preserve">. </w:t>
      </w:r>
      <w:r w:rsidR="0068537E">
        <w:t xml:space="preserve">Excel </w:t>
      </w:r>
      <w:r w:rsidR="00F418AD">
        <w:t>Pivot tables and charts are</w:t>
      </w:r>
      <w:r w:rsidR="0068537E">
        <w:t xml:space="preserve"> used to conduct the analysis in this report</w:t>
      </w:r>
      <w:r w:rsidR="00B52CC2">
        <w:t>.</w:t>
      </w:r>
      <w:r w:rsidR="00D935E1">
        <w:t xml:space="preserve"> </w:t>
      </w:r>
    </w:p>
    <w:p w14:paraId="7683DFD9" w14:textId="77777777" w:rsidR="007D126C" w:rsidRDefault="007D126C" w:rsidP="007D126C">
      <w:pPr>
        <w:pStyle w:val="Heading1"/>
      </w:pPr>
      <w:bookmarkStart w:id="2" w:name="_Toc487534188"/>
      <w:r>
        <w:t>Results</w:t>
      </w:r>
      <w:bookmarkEnd w:id="2"/>
    </w:p>
    <w:p w14:paraId="17BCD85C" w14:textId="2A1A39CA" w:rsidR="002A4779" w:rsidRDefault="004C609C" w:rsidP="00383B32">
      <w:pPr>
        <w:rPr>
          <w:iCs/>
        </w:rPr>
      </w:pPr>
      <w:r>
        <w:rPr>
          <w:iCs/>
        </w:rPr>
        <w:t>The study consists of 30195 households in total, majority of which were from Melb</w:t>
      </w:r>
      <w:r w:rsidR="008D18FA">
        <w:rPr>
          <w:iCs/>
        </w:rPr>
        <w:t xml:space="preserve">ourne </w:t>
      </w:r>
      <w:r>
        <w:rPr>
          <w:iCs/>
        </w:rPr>
        <w:t>-outer</w:t>
      </w:r>
      <w:r w:rsidR="005E2DC9">
        <w:rPr>
          <w:iCs/>
        </w:rPr>
        <w:t xml:space="preserve"> </w:t>
      </w:r>
      <w:r w:rsidR="0014161A">
        <w:rPr>
          <w:iCs/>
        </w:rPr>
        <w:t>(13558</w:t>
      </w:r>
      <w:r w:rsidR="005E2DC9">
        <w:rPr>
          <w:iCs/>
        </w:rPr>
        <w:t xml:space="preserve"> households)</w:t>
      </w:r>
      <w:r>
        <w:rPr>
          <w:iCs/>
        </w:rPr>
        <w:t xml:space="preserve"> and M</w:t>
      </w:r>
      <w:r w:rsidR="005E2DC9">
        <w:rPr>
          <w:iCs/>
        </w:rPr>
        <w:t>elb</w:t>
      </w:r>
      <w:r w:rsidR="008D18FA">
        <w:rPr>
          <w:iCs/>
        </w:rPr>
        <w:t xml:space="preserve">ourne </w:t>
      </w:r>
      <w:r w:rsidR="005E2DC9">
        <w:rPr>
          <w:iCs/>
        </w:rPr>
        <w:t>- Middle (12673 households) sub region</w:t>
      </w:r>
      <w:r w:rsidR="004939EB">
        <w:rPr>
          <w:iCs/>
        </w:rPr>
        <w:t>, which could indicate a preference for these regions</w:t>
      </w:r>
      <w:r w:rsidR="005E2DC9">
        <w:rPr>
          <w:iCs/>
        </w:rPr>
        <w:t xml:space="preserve">. </w:t>
      </w:r>
      <w:r w:rsidR="00ED5734">
        <w:rPr>
          <w:iCs/>
        </w:rPr>
        <w:t xml:space="preserve">The table also shows a </w:t>
      </w:r>
      <w:r w:rsidR="008D18FA">
        <w:rPr>
          <w:iCs/>
        </w:rPr>
        <w:t>comparison of average age across the different sub-region in Victoria.</w:t>
      </w:r>
      <w:r w:rsidR="00A01440">
        <w:rPr>
          <w:iCs/>
        </w:rPr>
        <w:t xml:space="preserve"> </w:t>
      </w:r>
      <w:r w:rsidR="00527C1C">
        <w:rPr>
          <w:iCs/>
        </w:rPr>
        <w:t xml:space="preserve"> Approximately 42% of the households had </w:t>
      </w:r>
      <w:r w:rsidR="00617DD0">
        <w:rPr>
          <w:iCs/>
        </w:rPr>
        <w:t>members</w:t>
      </w:r>
      <w:r w:rsidR="00527C1C">
        <w:rPr>
          <w:iCs/>
        </w:rPr>
        <w:t xml:space="preserve"> in the age group of 20</w:t>
      </w:r>
      <w:r w:rsidR="00257DE8">
        <w:rPr>
          <w:iCs/>
        </w:rPr>
        <w:t>-39.</w:t>
      </w:r>
      <w:r w:rsidR="00A22165">
        <w:rPr>
          <w:iCs/>
        </w:rPr>
        <w:t xml:space="preserve"> 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1960"/>
        <w:gridCol w:w="1600"/>
        <w:gridCol w:w="1580"/>
        <w:gridCol w:w="1400"/>
        <w:gridCol w:w="1042"/>
        <w:gridCol w:w="1300"/>
      </w:tblGrid>
      <w:tr w:rsidR="008C547F" w:rsidRPr="008C547F" w14:paraId="5C97E2AB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F069D0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No. of Households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18362B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Sub-regions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E2CEC9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23D394" w14:textId="77777777" w:rsidR="008C547F" w:rsidRPr="008C547F" w:rsidRDefault="008C547F" w:rsidP="008C5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78B771" w14:textId="77777777" w:rsidR="008C547F" w:rsidRPr="008C547F" w:rsidRDefault="008C547F" w:rsidP="008C5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2272B8" w14:textId="77777777" w:rsidR="008C547F" w:rsidRPr="008C547F" w:rsidRDefault="008C547F" w:rsidP="008C5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8C547F" w:rsidRPr="008C547F" w14:paraId="11059E9E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DFB4A1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Average 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215DA8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Outer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12AF59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Middle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DDE7D0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Inner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12E16B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Geelong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E8AF4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</w:tr>
      <w:tr w:rsidR="008C547F" w:rsidRPr="008C547F" w14:paraId="5B101FE3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BD10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0-9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C1FD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E313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1369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963C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55A3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19</w:t>
            </w:r>
          </w:p>
        </w:tc>
      </w:tr>
      <w:tr w:rsidR="008C547F" w:rsidRPr="008C547F" w14:paraId="22FA244D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20DB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10-19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3FC8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918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CDC7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F0FA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B508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F635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1598</w:t>
            </w:r>
          </w:p>
        </w:tc>
      </w:tr>
      <w:tr w:rsidR="008C547F" w:rsidRPr="008C547F" w14:paraId="11D990AB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57AA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20-29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0FB8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2983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BC2B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2886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8B8D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501A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1E9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6722</w:t>
            </w:r>
          </w:p>
        </w:tc>
      </w:tr>
      <w:tr w:rsidR="008C547F" w:rsidRPr="008C547F" w14:paraId="2BBF2443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AC5D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30-39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4720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2483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5A36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2620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9D4F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DBC9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59B4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5939</w:t>
            </w:r>
          </w:p>
        </w:tc>
      </w:tr>
      <w:tr w:rsidR="008C547F" w:rsidRPr="008C547F" w14:paraId="03B0B9F5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E36C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40-49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9235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1665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CB47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1530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3C56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650B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1A81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3661</w:t>
            </w:r>
          </w:p>
        </w:tc>
      </w:tr>
      <w:tr w:rsidR="008C547F" w:rsidRPr="008C547F" w14:paraId="26A78B42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9F7B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50-59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035B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1605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9373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1353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7101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FF1E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EDDF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3403</w:t>
            </w:r>
          </w:p>
        </w:tc>
      </w:tr>
      <w:tr w:rsidR="008C547F" w:rsidRPr="008C547F" w14:paraId="2CD13DD8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3793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60-69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B8A7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1988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A5A0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1642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C57D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2880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730C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4291</w:t>
            </w:r>
          </w:p>
        </w:tc>
      </w:tr>
      <w:tr w:rsidR="008C547F" w:rsidRPr="008C547F" w14:paraId="243ECF8F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60EE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70-79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8604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1313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3587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1318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2900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BE3E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10D0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2991</w:t>
            </w:r>
          </w:p>
        </w:tc>
      </w:tr>
      <w:tr w:rsidR="008C547F" w:rsidRPr="008C547F" w14:paraId="0AABDEDC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6C2E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80-89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E246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6ECB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5A03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C6A9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0343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1377</w:t>
            </w:r>
          </w:p>
        </w:tc>
      </w:tr>
      <w:tr w:rsidR="008C547F" w:rsidRPr="008C547F" w14:paraId="730A7C9D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5644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90-99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5F52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A6EE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BFA5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E5D8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858E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193</w:t>
            </w:r>
          </w:p>
        </w:tc>
      </w:tr>
      <w:tr w:rsidR="008C547F" w:rsidRPr="008C547F" w14:paraId="0722ADD2" w14:textId="77777777" w:rsidTr="008C547F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7FAE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110-119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1E95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3B61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DED2" w14:textId="77777777" w:rsidR="008C547F" w:rsidRPr="008C547F" w:rsidRDefault="008C547F" w:rsidP="008C5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C506" w14:textId="77777777" w:rsidR="008C547F" w:rsidRPr="008C547F" w:rsidRDefault="008C547F" w:rsidP="008C5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73DE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</w:t>
            </w:r>
          </w:p>
        </w:tc>
      </w:tr>
      <w:tr w:rsidR="008C547F" w:rsidRPr="008C547F" w14:paraId="1D9FB1CC" w14:textId="77777777" w:rsidTr="008C547F">
        <w:trPr>
          <w:trHeight w:val="320"/>
        </w:trPr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72FE2C" w14:textId="77777777" w:rsidR="008C547F" w:rsidRPr="008C547F" w:rsidRDefault="008C547F" w:rsidP="008C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8DB041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13558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AF9863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12673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75E195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2283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5C063E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1681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684EB1" w14:textId="77777777" w:rsidR="008C547F" w:rsidRPr="008C547F" w:rsidRDefault="008C547F" w:rsidP="008C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C5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30195</w:t>
            </w:r>
          </w:p>
        </w:tc>
      </w:tr>
    </w:tbl>
    <w:p w14:paraId="77A251F8" w14:textId="798D8639" w:rsidR="002F7DDE" w:rsidRPr="00AB70B0" w:rsidRDefault="00500958" w:rsidP="00E47ACF">
      <w:pPr>
        <w:pStyle w:val="Caption"/>
        <w:rPr>
          <w:lang w:val="en-GB"/>
        </w:rPr>
      </w:pPr>
      <w:bookmarkStart w:id="3" w:name="_Toc143888507"/>
      <w:r>
        <w:t xml:space="preserve">Table </w:t>
      </w:r>
      <w:r w:rsidR="009A0E7B">
        <w:fldChar w:fldCharType="begin"/>
      </w:r>
      <w:r w:rsidR="009A0E7B">
        <w:instrText xml:space="preserve"> SEQ Table \* ARABIC </w:instrText>
      </w:r>
      <w:r w:rsidR="009A0E7B">
        <w:fldChar w:fldCharType="separate"/>
      </w:r>
      <w:r w:rsidR="004B5FE3">
        <w:rPr>
          <w:noProof/>
        </w:rPr>
        <w:t>1</w:t>
      </w:r>
      <w:r w:rsidR="009A0E7B">
        <w:rPr>
          <w:noProof/>
        </w:rPr>
        <w:fldChar w:fldCharType="end"/>
      </w:r>
      <w:r>
        <w:t xml:space="preserve">: </w:t>
      </w:r>
      <w:r w:rsidR="00AB70B0">
        <w:rPr>
          <w:lang w:val="en-GB"/>
        </w:rPr>
        <w:t>C</w:t>
      </w:r>
      <w:r w:rsidR="00E47ACF" w:rsidRPr="00E47ACF">
        <w:rPr>
          <w:lang w:val="en-GB"/>
        </w:rPr>
        <w:t>ompare</w:t>
      </w:r>
      <w:r w:rsidR="00AB70B0">
        <w:rPr>
          <w:lang w:val="en-GB"/>
        </w:rPr>
        <w:t>s</w:t>
      </w:r>
      <w:r w:rsidR="00E47ACF" w:rsidRPr="00E47ACF">
        <w:rPr>
          <w:lang w:val="en-GB"/>
        </w:rPr>
        <w:t xml:space="preserve"> the number of households from Victoria participating in</w:t>
      </w:r>
      <w:r w:rsidR="00AB70B0">
        <w:rPr>
          <w:lang w:val="en-GB"/>
        </w:rPr>
        <w:t xml:space="preserve"> </w:t>
      </w:r>
      <w:r w:rsidR="00E47ACF" w:rsidRPr="00E47ACF">
        <w:rPr>
          <w:lang w:val="en-GB"/>
        </w:rPr>
        <w:t>the study</w:t>
      </w:r>
      <w:r w:rsidR="00AB70B0">
        <w:rPr>
          <w:lang w:val="en-GB"/>
        </w:rPr>
        <w:t xml:space="preserve"> </w:t>
      </w:r>
      <w:r w:rsidR="00E47ACF" w:rsidRPr="00E47ACF">
        <w:rPr>
          <w:lang w:val="en-GB"/>
        </w:rPr>
        <w:t>with a comparison of the average age across the sub-regions.</w:t>
      </w:r>
      <w:bookmarkEnd w:id="3"/>
    </w:p>
    <w:p w14:paraId="4349F960" w14:textId="7E8CC59D" w:rsidR="00CF3322" w:rsidRDefault="00962116">
      <w:pPr>
        <w:rPr>
          <w:iCs/>
        </w:rPr>
      </w:pPr>
      <w:r>
        <w:rPr>
          <w:iCs/>
        </w:rPr>
        <w:t>T</w:t>
      </w:r>
      <w:r w:rsidR="001A19C7">
        <w:rPr>
          <w:iCs/>
        </w:rPr>
        <w:t>able</w:t>
      </w:r>
      <w:r>
        <w:rPr>
          <w:iCs/>
        </w:rPr>
        <w:t xml:space="preserve"> 2</w:t>
      </w:r>
      <w:r w:rsidR="001A19C7">
        <w:rPr>
          <w:iCs/>
        </w:rPr>
        <w:t xml:space="preserve"> shows the </w:t>
      </w:r>
      <w:r w:rsidR="00E33E53">
        <w:rPr>
          <w:iCs/>
        </w:rPr>
        <w:t>proportion of households in each region across the years of the survey.</w:t>
      </w:r>
      <w:r w:rsidR="00FD41A0">
        <w:rPr>
          <w:iCs/>
        </w:rPr>
        <w:t xml:space="preserve"> </w:t>
      </w:r>
      <w:r>
        <w:rPr>
          <w:iCs/>
        </w:rPr>
        <w:t>Over</w:t>
      </w:r>
      <w:r w:rsidR="00FD41A0">
        <w:rPr>
          <w:iCs/>
        </w:rPr>
        <w:t xml:space="preserve"> the years</w:t>
      </w:r>
      <w:r>
        <w:rPr>
          <w:iCs/>
        </w:rPr>
        <w:t>,</w:t>
      </w:r>
      <w:r w:rsidR="00FD41A0">
        <w:rPr>
          <w:iCs/>
        </w:rPr>
        <w:t xml:space="preserve"> the households have preferred to stay in Melbourn</w:t>
      </w:r>
      <w:r w:rsidR="00F61B9C">
        <w:rPr>
          <w:iCs/>
        </w:rPr>
        <w:t>e</w:t>
      </w:r>
      <w:r w:rsidR="00FD41A0">
        <w:rPr>
          <w:iCs/>
        </w:rPr>
        <w:t xml:space="preserve"> </w:t>
      </w:r>
      <w:r w:rsidR="00F61B9C">
        <w:rPr>
          <w:iCs/>
        </w:rPr>
        <w:t>O</w:t>
      </w:r>
      <w:r w:rsidR="00FD41A0">
        <w:rPr>
          <w:iCs/>
        </w:rPr>
        <w:t xml:space="preserve">uter </w:t>
      </w:r>
      <w:r w:rsidR="007B5E37">
        <w:rPr>
          <w:iCs/>
        </w:rPr>
        <w:t>and</w:t>
      </w:r>
      <w:r w:rsidR="00FD41A0">
        <w:rPr>
          <w:iCs/>
        </w:rPr>
        <w:t xml:space="preserve"> Middle</w:t>
      </w:r>
      <w:r w:rsidR="00F61B9C">
        <w:rPr>
          <w:iCs/>
        </w:rPr>
        <w:t xml:space="preserve"> over living in the inner parts of the city or in Geelong.</w:t>
      </w:r>
      <w:r w:rsidR="00B07D2C">
        <w:rPr>
          <w:iCs/>
        </w:rPr>
        <w:t xml:space="preserve"> Geelong was preferred by only 5.57% of the </w:t>
      </w:r>
      <w:r w:rsidR="0014161A">
        <w:rPr>
          <w:iCs/>
        </w:rPr>
        <w:t xml:space="preserve">sample </w:t>
      </w:r>
      <w:r w:rsidR="00AD25E1">
        <w:rPr>
          <w:iCs/>
        </w:rPr>
        <w:t>households.</w:t>
      </w:r>
    </w:p>
    <w:p w14:paraId="4864AB4B" w14:textId="77777777" w:rsidR="001A19C7" w:rsidRDefault="001A19C7">
      <w:pPr>
        <w:rPr>
          <w:iCs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1740"/>
        <w:gridCol w:w="1560"/>
        <w:gridCol w:w="1580"/>
        <w:gridCol w:w="1400"/>
        <w:gridCol w:w="1042"/>
        <w:gridCol w:w="1300"/>
      </w:tblGrid>
      <w:tr w:rsidR="001A19C7" w:rsidRPr="001A19C7" w14:paraId="555992FE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CB4066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% of households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724479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Sub-Region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B9B15E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D65410" w14:textId="77777777" w:rsidR="001A19C7" w:rsidRPr="001A19C7" w:rsidRDefault="001A19C7" w:rsidP="001A1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63DFC0" w14:textId="77777777" w:rsidR="001A19C7" w:rsidRPr="001A19C7" w:rsidRDefault="001A19C7" w:rsidP="001A1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8B9ED8" w14:textId="77777777" w:rsidR="001A19C7" w:rsidRPr="001A19C7" w:rsidRDefault="001A19C7" w:rsidP="001A1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1A19C7" w:rsidRPr="001A19C7" w14:paraId="0A658B80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6901E6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AB66A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Outer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B4BC87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Middle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B14D7A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Inner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F61145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Geelong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156A3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</w:tr>
      <w:tr w:rsidR="001A19C7" w:rsidRPr="001A19C7" w14:paraId="7FAC4118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70B5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2012-13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CD56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43.73%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2034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42.17%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3B11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7.81%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BC49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6.29%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36CE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  <w:tr w:rsidR="001A19C7" w:rsidRPr="001A19C7" w14:paraId="1BB022C0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21C5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2013-14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3332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45.11%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DA95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41.25%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62AB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7.73%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FA1D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5.91%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E2A9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  <w:tr w:rsidR="001A19C7" w:rsidRPr="001A19C7" w14:paraId="0E720333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D074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2014-15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CE87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43.20%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E976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43.89%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143C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7.46%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F665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5.45%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6E2A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  <w:tr w:rsidR="001A19C7" w:rsidRPr="001A19C7" w14:paraId="44A0A2FD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6902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2015-16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5562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43.69%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5A68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42.86%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1E66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7.53%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07FF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5.92%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8C6A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  <w:tr w:rsidR="001A19C7" w:rsidRPr="001A19C7" w14:paraId="1566CEF2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8DB6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2016-17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7C19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44.97%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A406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42.14%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44F6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8.08%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4F7C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4.81%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11C6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  <w:tr w:rsidR="001A19C7" w:rsidRPr="001A19C7" w14:paraId="76225DCE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D0B0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2017-18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C150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46.15%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D794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41.46%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2779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7.65%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3D92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4.74%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0A78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  <w:tr w:rsidR="001A19C7" w:rsidRPr="001A19C7" w14:paraId="652E36CF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9B3A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2018-19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CF6A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47.63%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236C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39.66%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C120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7.48%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A8C4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5.22%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2D43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  <w:tr w:rsidR="001A19C7" w:rsidRPr="001A19C7" w14:paraId="7467F9B6" w14:textId="77777777" w:rsidTr="001A19C7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8A60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2019-20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6349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46.89%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BC43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41.13%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40E4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5.71%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298B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6.27%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949C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  <w:tr w:rsidR="001A19C7" w:rsidRPr="001A19C7" w14:paraId="64DDA9F6" w14:textId="77777777" w:rsidTr="001A19C7">
        <w:trPr>
          <w:trHeight w:val="320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E3C18A" w14:textId="77777777" w:rsidR="001A19C7" w:rsidRPr="001A19C7" w:rsidRDefault="001A19C7" w:rsidP="001A19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849FBA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44.90%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F07F2E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41.97%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4BF508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7.56%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040E59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5.57%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A72906" w14:textId="77777777" w:rsidR="001A19C7" w:rsidRPr="001A19C7" w:rsidRDefault="001A19C7" w:rsidP="001A1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1A1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</w:tbl>
    <w:p w14:paraId="1E956F8A" w14:textId="518D0CB4" w:rsidR="0014161A" w:rsidRDefault="00962116" w:rsidP="00962116">
      <w:pPr>
        <w:pStyle w:val="Caption"/>
        <w:rPr>
          <w:rFonts w:ascii="Times New Roman" w:hAnsi="Times New Roman" w:cs="Times New Roman"/>
          <w:i w:val="0"/>
          <w:iCs w:val="0"/>
          <w:lang w:val="en-GB"/>
        </w:rPr>
      </w:pPr>
      <w:bookmarkStart w:id="4" w:name="_Toc143888508"/>
      <w:r>
        <w:t xml:space="preserve">Table </w:t>
      </w:r>
      <w:r w:rsidR="009A0E7B">
        <w:fldChar w:fldCharType="begin"/>
      </w:r>
      <w:r w:rsidR="009A0E7B">
        <w:instrText xml:space="preserve"> SEQ Table \* ARABIC </w:instrText>
      </w:r>
      <w:r w:rsidR="009A0E7B">
        <w:fldChar w:fldCharType="separate"/>
      </w:r>
      <w:r w:rsidR="004B5FE3">
        <w:rPr>
          <w:noProof/>
        </w:rPr>
        <w:t>2</w:t>
      </w:r>
      <w:r w:rsidR="009A0E7B">
        <w:rPr>
          <w:noProof/>
        </w:rPr>
        <w:fldChar w:fldCharType="end"/>
      </w:r>
      <w:r>
        <w:t>:</w:t>
      </w:r>
      <w:r w:rsidR="003D222A">
        <w:t xml:space="preserve"> percentage of the</w:t>
      </w:r>
      <w:r w:rsidR="003D222A" w:rsidRPr="003D222A">
        <w:t xml:space="preserve"> total number of households for each year for each subregion</w:t>
      </w:r>
      <w:r w:rsidR="003D222A">
        <w:rPr>
          <w:rFonts w:ascii="Times New Roman" w:hAnsi="Times New Roman" w:cs="Times New Roman"/>
          <w:i w:val="0"/>
          <w:iCs w:val="0"/>
          <w:lang w:val="en-GB"/>
        </w:rPr>
        <w:t>.</w:t>
      </w:r>
      <w:bookmarkEnd w:id="4"/>
    </w:p>
    <w:p w14:paraId="21C4B7D0" w14:textId="706AD3A5" w:rsidR="002E13F9" w:rsidRDefault="00B27CEF" w:rsidP="00CC444E">
      <w:pPr>
        <w:pStyle w:val="Caption"/>
      </w:pPr>
      <w:r>
        <w:rPr>
          <w:i w:val="0"/>
          <w:color w:val="auto"/>
          <w:sz w:val="22"/>
          <w:szCs w:val="22"/>
        </w:rPr>
        <w:t xml:space="preserve">The analysis also revealed that </w:t>
      </w:r>
      <w:r w:rsidR="00A4374C">
        <w:rPr>
          <w:i w:val="0"/>
          <w:color w:val="auto"/>
          <w:sz w:val="22"/>
          <w:szCs w:val="22"/>
        </w:rPr>
        <w:t>4388</w:t>
      </w:r>
      <w:r w:rsidR="00D12F51">
        <w:rPr>
          <w:i w:val="0"/>
          <w:color w:val="auto"/>
          <w:sz w:val="22"/>
          <w:szCs w:val="22"/>
        </w:rPr>
        <w:t xml:space="preserve"> FWD vehicles</w:t>
      </w:r>
      <w:r w:rsidR="005E7828">
        <w:rPr>
          <w:i w:val="0"/>
          <w:color w:val="auto"/>
          <w:sz w:val="22"/>
          <w:szCs w:val="22"/>
        </w:rPr>
        <w:t xml:space="preserve">, where from households </w:t>
      </w:r>
      <w:r w:rsidR="002526F8">
        <w:rPr>
          <w:i w:val="0"/>
          <w:color w:val="auto"/>
          <w:sz w:val="22"/>
          <w:szCs w:val="22"/>
        </w:rPr>
        <w:t>either renting or in the process of purchasing a Separate Dwelling</w:t>
      </w:r>
      <w:r w:rsidR="0047219A">
        <w:rPr>
          <w:i w:val="0"/>
          <w:color w:val="auto"/>
          <w:sz w:val="22"/>
          <w:szCs w:val="22"/>
        </w:rPr>
        <w:t xml:space="preserve"> in the</w:t>
      </w:r>
      <w:r w:rsidR="00F67B53">
        <w:rPr>
          <w:i w:val="0"/>
          <w:color w:val="auto"/>
          <w:sz w:val="22"/>
          <w:szCs w:val="22"/>
        </w:rPr>
        <w:t xml:space="preserve"> </w:t>
      </w:r>
      <w:r w:rsidR="00F67B53" w:rsidRPr="00F67B53">
        <w:rPr>
          <w:i w:val="0"/>
          <w:color w:val="auto"/>
          <w:sz w:val="22"/>
          <w:szCs w:val="22"/>
          <w:lang w:val="en-GB"/>
        </w:rPr>
        <w:t>Inner, Middle and Outer Melbourne</w:t>
      </w:r>
      <w:r w:rsidR="00464EFC">
        <w:rPr>
          <w:i w:val="0"/>
          <w:color w:val="auto"/>
          <w:sz w:val="22"/>
          <w:szCs w:val="22"/>
          <w:lang w:val="en-GB"/>
        </w:rPr>
        <w:t xml:space="preserve"> (Formula in the Appendix)</w:t>
      </w:r>
      <w:r w:rsidR="0047219A">
        <w:t>.</w:t>
      </w:r>
    </w:p>
    <w:p w14:paraId="48C313F9" w14:textId="71EEB56C" w:rsidR="002E13F9" w:rsidRPr="002E13F9" w:rsidRDefault="002E13F9" w:rsidP="002E13F9">
      <w:r>
        <w:t xml:space="preserve">Figure 1 </w:t>
      </w:r>
      <w:r w:rsidR="000500BC">
        <w:t>shows the average household income for the participants over the years.</w:t>
      </w:r>
      <w:r w:rsidR="004061D7">
        <w:t xml:space="preserve"> The household income is the highest amongst the resident in Melbourne- Inner and lowest among the households in </w:t>
      </w:r>
      <w:r w:rsidR="00F241C5">
        <w:t>Geelong</w:t>
      </w:r>
      <w:r w:rsidR="00472DE4">
        <w:t xml:space="preserve">. On an average the households in </w:t>
      </w:r>
      <w:r w:rsidR="007A5C72">
        <w:t>Melbourne Inner earns 2</w:t>
      </w:r>
      <w:r w:rsidR="008A5E7D">
        <w:t>216</w:t>
      </w:r>
      <w:r w:rsidR="007A5C72">
        <w:t xml:space="preserve">$, whereas in </w:t>
      </w:r>
      <w:r w:rsidR="006F3BBB">
        <w:t>Melbourne – Middle it is 19</w:t>
      </w:r>
      <w:r w:rsidR="00376974">
        <w:t>31</w:t>
      </w:r>
      <w:r w:rsidR="006F3BBB">
        <w:t>$, followed by Melbourne Outer with 17</w:t>
      </w:r>
      <w:r w:rsidR="00376974">
        <w:t>27</w:t>
      </w:r>
      <w:r w:rsidR="00F4162A">
        <w:t>$</w:t>
      </w:r>
      <w:r w:rsidR="006F3BBB">
        <w:t xml:space="preserve"> and </w:t>
      </w:r>
      <w:r w:rsidR="00F241C5">
        <w:t>Geelong with 1</w:t>
      </w:r>
      <w:r w:rsidR="00376974">
        <w:t>481</w:t>
      </w:r>
      <w:r w:rsidR="00F241C5">
        <w:t>$.</w:t>
      </w:r>
      <w:r w:rsidR="00945A94">
        <w:t xml:space="preserve"> It can be noticed </w:t>
      </w:r>
      <w:r w:rsidR="00D54394">
        <w:t xml:space="preserve">that </w:t>
      </w:r>
      <w:r w:rsidR="004F3611">
        <w:t xml:space="preserve">2019-20 is the year when most regions had the highest </w:t>
      </w:r>
      <w:r w:rsidR="004C7DDD">
        <w:t>average</w:t>
      </w:r>
      <w:r w:rsidR="00F10D5A">
        <w:t xml:space="preserve"> household</w:t>
      </w:r>
      <w:r w:rsidR="004C7DDD">
        <w:t xml:space="preserve"> income.</w:t>
      </w:r>
    </w:p>
    <w:p w14:paraId="7B21A303" w14:textId="77777777" w:rsidR="003F5A55" w:rsidRDefault="003F5A55" w:rsidP="00962116">
      <w:pPr>
        <w:pStyle w:val="Caption"/>
        <w:rPr>
          <w:i w:val="0"/>
          <w:iCs w:val="0"/>
        </w:rPr>
      </w:pPr>
    </w:p>
    <w:p w14:paraId="09ACC98F" w14:textId="77777777" w:rsidR="00424D89" w:rsidRDefault="003F5A55" w:rsidP="00424D89">
      <w:pPr>
        <w:pStyle w:val="Caption"/>
        <w:keepNext/>
      </w:pPr>
      <w:r>
        <w:rPr>
          <w:noProof/>
        </w:rPr>
        <w:drawing>
          <wp:inline distT="0" distB="0" distL="0" distR="0" wp14:anchorId="0E7E1370" wp14:editId="58C2D2A8">
            <wp:extent cx="5741581" cy="3497580"/>
            <wp:effectExtent l="0" t="0" r="12065" b="7620"/>
            <wp:docPr id="2156594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3B2202-4DC1-114B-B7BA-A97F28688C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BA3D6C" w14:textId="34513124" w:rsidR="00424880" w:rsidRDefault="00424D89" w:rsidP="00CC444E">
      <w:pPr>
        <w:pStyle w:val="Caption"/>
        <w:rPr>
          <w:lang w:val="en-GB"/>
        </w:rPr>
      </w:pPr>
      <w:bookmarkStart w:id="5" w:name="_Toc143888486"/>
      <w:r>
        <w:t xml:space="preserve">Figure </w:t>
      </w:r>
      <w:r w:rsidR="009A0E7B">
        <w:fldChar w:fldCharType="begin"/>
      </w:r>
      <w:r w:rsidR="009A0E7B">
        <w:instrText xml:space="preserve"> SEQ Figure \* ARABIC </w:instrText>
      </w:r>
      <w:r w:rsidR="009A0E7B">
        <w:fldChar w:fldCharType="separate"/>
      </w:r>
      <w:r w:rsidR="006B2A94">
        <w:rPr>
          <w:noProof/>
        </w:rPr>
        <w:t>1</w:t>
      </w:r>
      <w:r w:rsidR="009A0E7B">
        <w:rPr>
          <w:noProof/>
        </w:rPr>
        <w:fldChar w:fldCharType="end"/>
      </w:r>
      <w:r>
        <w:t xml:space="preserve">: </w:t>
      </w:r>
      <w:r w:rsidR="00424880" w:rsidRPr="00424880">
        <w:rPr>
          <w:lang w:val="en-GB"/>
        </w:rPr>
        <w:t>PivotChart show</w:t>
      </w:r>
      <w:r w:rsidR="00424880">
        <w:rPr>
          <w:lang w:val="en-GB"/>
        </w:rPr>
        <w:t>s</w:t>
      </w:r>
      <w:r w:rsidR="00424880" w:rsidRPr="00424880">
        <w:rPr>
          <w:lang w:val="en-GB"/>
        </w:rPr>
        <w:t xml:space="preserve"> the average household income for the survey</w:t>
      </w:r>
      <w:r w:rsidR="00424880">
        <w:rPr>
          <w:lang w:val="en-GB"/>
        </w:rPr>
        <w:t xml:space="preserve"> </w:t>
      </w:r>
      <w:r w:rsidR="00424880" w:rsidRPr="00424880">
        <w:rPr>
          <w:lang w:val="en-GB"/>
        </w:rPr>
        <w:t>participants over time.</w:t>
      </w:r>
      <w:bookmarkEnd w:id="5"/>
    </w:p>
    <w:p w14:paraId="21647D15" w14:textId="06C7F65E" w:rsidR="00993301" w:rsidRDefault="00420FDD" w:rsidP="00424880">
      <w:pPr>
        <w:rPr>
          <w:lang w:val="en-GB"/>
        </w:rPr>
      </w:pPr>
      <w:r>
        <w:rPr>
          <w:lang w:val="en-GB"/>
        </w:rPr>
        <w:lastRenderedPageBreak/>
        <w:t>Figure 2 shows that 74.09% of the households generally travel during the weekdays compared to the 25.91% during the weekend</w:t>
      </w:r>
      <w:r w:rsidR="00C91049">
        <w:rPr>
          <w:lang w:val="en-GB"/>
        </w:rPr>
        <w:t>, which is a significant difference.</w:t>
      </w:r>
      <w:r w:rsidR="00FD35F3">
        <w:rPr>
          <w:lang w:val="en-GB"/>
        </w:rPr>
        <w:t xml:space="preserve"> The </w:t>
      </w:r>
      <w:r w:rsidR="004F1340">
        <w:rPr>
          <w:lang w:val="en-GB"/>
        </w:rPr>
        <w:t>percentage</w:t>
      </w:r>
      <w:r w:rsidR="00FD35F3">
        <w:rPr>
          <w:lang w:val="en-GB"/>
        </w:rPr>
        <w:t xml:space="preserve"> </w:t>
      </w:r>
      <w:r w:rsidR="004F1340">
        <w:rPr>
          <w:lang w:val="en-GB"/>
        </w:rPr>
        <w:t xml:space="preserve">of the travel </w:t>
      </w:r>
      <w:r w:rsidR="00FD35F3">
        <w:rPr>
          <w:lang w:val="en-GB"/>
        </w:rPr>
        <w:t xml:space="preserve">in each sub-region is very close to </w:t>
      </w:r>
      <w:r w:rsidR="00367F46">
        <w:rPr>
          <w:lang w:val="en-GB"/>
        </w:rPr>
        <w:t>each other.</w:t>
      </w:r>
    </w:p>
    <w:p w14:paraId="03074C6C" w14:textId="24C3E4E5" w:rsidR="00993301" w:rsidRDefault="006A5F35" w:rsidP="00993301">
      <w:pPr>
        <w:keepNext/>
      </w:pPr>
      <w:r>
        <w:rPr>
          <w:noProof/>
        </w:rPr>
        <w:drawing>
          <wp:inline distT="0" distB="0" distL="0" distR="0" wp14:anchorId="6CFFB0AC" wp14:editId="516682A0">
            <wp:extent cx="5731510" cy="3296285"/>
            <wp:effectExtent l="0" t="0" r="8890" b="18415"/>
            <wp:docPr id="7207708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8AED0E-7A15-87FC-FEE6-53C713BC0B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t xml:space="preserve"> </w:t>
      </w:r>
    </w:p>
    <w:p w14:paraId="1B82E8FC" w14:textId="7F817969" w:rsidR="004D19E4" w:rsidRPr="00FA34C2" w:rsidRDefault="00993301" w:rsidP="00962116">
      <w:pPr>
        <w:pStyle w:val="Caption"/>
        <w:rPr>
          <w:lang w:val="en-GB"/>
        </w:rPr>
      </w:pPr>
      <w:bookmarkStart w:id="6" w:name="_Toc143888487"/>
      <w:r>
        <w:t xml:space="preserve">Figure </w:t>
      </w:r>
      <w:r w:rsidR="009A0E7B">
        <w:fldChar w:fldCharType="begin"/>
      </w:r>
      <w:r w:rsidR="009A0E7B">
        <w:instrText xml:space="preserve"> SEQ Figure \* ARABIC </w:instrText>
      </w:r>
      <w:r w:rsidR="009A0E7B">
        <w:fldChar w:fldCharType="separate"/>
      </w:r>
      <w:r w:rsidR="006B2A94">
        <w:rPr>
          <w:noProof/>
        </w:rPr>
        <w:t>2</w:t>
      </w:r>
      <w:r w:rsidR="009A0E7B">
        <w:rPr>
          <w:noProof/>
        </w:rPr>
        <w:fldChar w:fldCharType="end"/>
      </w:r>
      <w:r>
        <w:t xml:space="preserve">: </w:t>
      </w:r>
      <w:r w:rsidR="00420FDD">
        <w:t>Shows the travel pattern during weekdays and weekends across different sub-</w:t>
      </w:r>
      <w:r w:rsidR="00761CA4">
        <w:t>regions.</w:t>
      </w:r>
      <w:bookmarkEnd w:id="6"/>
    </w:p>
    <w:p w14:paraId="3BECA0DB" w14:textId="1502C26B" w:rsidR="004F4FB7" w:rsidRPr="004F4FB7" w:rsidRDefault="004F4FB7" w:rsidP="004F4FB7">
      <w:r>
        <w:t>Table 3 shows the percentage of households owning vehicles</w:t>
      </w:r>
      <w:r w:rsidR="006B1F04">
        <w:t xml:space="preserve"> including cars, </w:t>
      </w:r>
      <w:r w:rsidR="004F1340">
        <w:t>Four-wheel</w:t>
      </w:r>
      <w:r w:rsidR="006B1F04">
        <w:t xml:space="preserve"> drives, utility </w:t>
      </w:r>
      <w:r w:rsidR="00F358FB">
        <w:t xml:space="preserve">vehicles, vans, trucks, </w:t>
      </w:r>
      <w:r w:rsidR="00433468">
        <w:t>motorbikes,</w:t>
      </w:r>
      <w:r w:rsidR="00F358FB">
        <w:t xml:space="preserve"> and other vehicles.</w:t>
      </w:r>
      <w:r w:rsidR="006939F6">
        <w:t xml:space="preserve"> 93.16% of the households across the sub-regions owned at least one form of vehicle</w:t>
      </w:r>
      <w:r w:rsidR="00D23321">
        <w:t>. 77.10% of the households owned 1-2 vehicles</w:t>
      </w:r>
      <w:r w:rsidR="00095919">
        <w:t xml:space="preserve">, which indicate towards the </w:t>
      </w:r>
      <w:r w:rsidR="007C1B2C">
        <w:t xml:space="preserve">reliance </w:t>
      </w:r>
      <w:r w:rsidR="00095919">
        <w:t>o</w:t>
      </w:r>
      <w:r w:rsidR="007C1B2C">
        <w:t>n the</w:t>
      </w:r>
      <w:r w:rsidR="00095919">
        <w:t xml:space="preserve"> public transport</w:t>
      </w:r>
      <w:r w:rsidR="007C1B2C">
        <w:t>.</w:t>
      </w:r>
      <w:r w:rsidR="001D3C15">
        <w:t xml:space="preserve"> Table 4 shows that </w:t>
      </w:r>
      <w:r w:rsidR="00D33099">
        <w:t>14622</w:t>
      </w:r>
      <w:r w:rsidR="001D3C15">
        <w:t xml:space="preserve"> of the </w:t>
      </w:r>
      <w:r w:rsidR="00D33099">
        <w:t>households</w:t>
      </w:r>
      <w:r w:rsidR="001D3C15">
        <w:t xml:space="preserve"> </w:t>
      </w:r>
      <w:r w:rsidR="00D33099">
        <w:t>that owned 1-2 vehicles had only 1-2 members.</w:t>
      </w:r>
      <w:r w:rsidR="004F3743">
        <w:t xml:space="preserve"> </w:t>
      </w:r>
      <w:r w:rsidR="00FD0D92">
        <w:t xml:space="preserve">17 households in </w:t>
      </w:r>
      <w:r w:rsidR="001C75DD">
        <w:t xml:space="preserve">Melbourne Middle and Outer </w:t>
      </w:r>
      <w:r w:rsidR="00E86CEC">
        <w:t xml:space="preserve">consisting of an average of </w:t>
      </w:r>
      <w:r w:rsidR="00073ECD">
        <w:t xml:space="preserve">4 household members </w:t>
      </w:r>
      <w:r w:rsidR="001C75DD">
        <w:t>owne</w:t>
      </w:r>
      <w:r w:rsidR="00073ECD">
        <w:t>d</w:t>
      </w:r>
      <w:r w:rsidR="001C75DD">
        <w:t xml:space="preserve"> 7-9 vehicles</w:t>
      </w:r>
      <w:r w:rsidR="00073ECD">
        <w:t>.</w:t>
      </w:r>
      <w:r w:rsidR="00650651">
        <w:t xml:space="preserve"> 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440"/>
        <w:gridCol w:w="1580"/>
        <w:gridCol w:w="1580"/>
        <w:gridCol w:w="1580"/>
        <w:gridCol w:w="1580"/>
        <w:gridCol w:w="1300"/>
      </w:tblGrid>
      <w:tr w:rsidR="00EC2E6C" w:rsidRPr="00EC2E6C" w14:paraId="0797447B" w14:textId="77777777" w:rsidTr="00EC2E6C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7DB9AF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 xml:space="preserve">% of </w:t>
            </w:r>
            <w:proofErr w:type="spellStart"/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hhid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496D47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Sub-Region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F21CA0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410C2D" w14:textId="77777777" w:rsidR="00EC2E6C" w:rsidRPr="00EC2E6C" w:rsidRDefault="00EC2E6C" w:rsidP="00EC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7D0353" w14:textId="77777777" w:rsidR="00EC2E6C" w:rsidRPr="00EC2E6C" w:rsidRDefault="00EC2E6C" w:rsidP="00EC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F54CFD" w14:textId="77777777" w:rsidR="00EC2E6C" w:rsidRPr="00EC2E6C" w:rsidRDefault="00EC2E6C" w:rsidP="00EC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EC2E6C" w:rsidRPr="00EC2E6C" w14:paraId="03E3D20A" w14:textId="77777777" w:rsidTr="00EC2E6C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AC97F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proofErr w:type="spellStart"/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totalvehs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0EA6B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Geelong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E108A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Inner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BD8023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Middle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977E2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Outer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A909A5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</w:tr>
      <w:tr w:rsidR="00EC2E6C" w:rsidRPr="00EC2E6C" w14:paraId="0403E2D0" w14:textId="77777777" w:rsidTr="00EC2E6C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8DF7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&lt;1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2FBE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5.53%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8542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15.86%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0AC5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7.43%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0094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4.93%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25E0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6.84%</w:t>
            </w:r>
          </w:p>
        </w:tc>
      </w:tr>
      <w:tr w:rsidR="00EC2E6C" w:rsidRPr="00EC2E6C" w14:paraId="1719A83A" w14:textId="77777777" w:rsidTr="00EC2E6C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F046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1-2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7570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78.76%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1285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77.62%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4113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78.55%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37B0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75.44%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4736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77.10%</w:t>
            </w:r>
          </w:p>
        </w:tc>
      </w:tr>
      <w:tr w:rsidR="00EC2E6C" w:rsidRPr="00EC2E6C" w14:paraId="7D2C5CC3" w14:textId="77777777" w:rsidTr="00EC2E6C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8918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3-4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3743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14.87%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BB24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6.31%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1797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12.93%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C896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17.69%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D5F8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14.68%</w:t>
            </w:r>
          </w:p>
        </w:tc>
      </w:tr>
      <w:tr w:rsidR="00EC2E6C" w:rsidRPr="00EC2E6C" w14:paraId="513A4230" w14:textId="77777777" w:rsidTr="00EC2E6C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A498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5-6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2984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0.83%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A609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0.22%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957D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1.04%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BDBE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1.84%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F9FC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1.33%</w:t>
            </w:r>
          </w:p>
        </w:tc>
      </w:tr>
      <w:tr w:rsidR="00EC2E6C" w:rsidRPr="00EC2E6C" w14:paraId="0B5241D4" w14:textId="77777777" w:rsidTr="00EC2E6C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1F34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7-9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D9B7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0.00%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3ACA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0.00%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3439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0.04%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2435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D341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0.06%</w:t>
            </w:r>
          </w:p>
        </w:tc>
      </w:tr>
      <w:tr w:rsidR="00EC2E6C" w:rsidRPr="00EC2E6C" w14:paraId="28B67E76" w14:textId="77777777" w:rsidTr="00EC2E6C">
        <w:trPr>
          <w:trHeight w:val="320"/>
        </w:trPr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B413FE" w14:textId="77777777" w:rsidR="00EC2E6C" w:rsidRPr="00EC2E6C" w:rsidRDefault="00EC2E6C" w:rsidP="00EC2E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6FD708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992CFD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5FD302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2EB92F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832887" w14:textId="77777777" w:rsidR="00EC2E6C" w:rsidRPr="00EC2E6C" w:rsidRDefault="00EC2E6C" w:rsidP="00EC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EC2E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</w:tbl>
    <w:p w14:paraId="3BFBB619" w14:textId="731943D3" w:rsidR="009A7A2F" w:rsidRDefault="004D19E4" w:rsidP="00EC2E6C">
      <w:pPr>
        <w:pStyle w:val="Caption"/>
      </w:pPr>
      <w:r>
        <w:t xml:space="preserve"> </w:t>
      </w:r>
      <w:bookmarkStart w:id="7" w:name="_Toc143888509"/>
      <w:r w:rsidR="00EC2E6C">
        <w:t xml:space="preserve">Table </w:t>
      </w:r>
      <w:r w:rsidR="009A0E7B">
        <w:fldChar w:fldCharType="begin"/>
      </w:r>
      <w:r w:rsidR="009A0E7B">
        <w:instrText xml:space="preserve"> SEQ Table \* ARABIC </w:instrText>
      </w:r>
      <w:r w:rsidR="009A0E7B">
        <w:fldChar w:fldCharType="separate"/>
      </w:r>
      <w:r w:rsidR="004B5FE3">
        <w:rPr>
          <w:noProof/>
        </w:rPr>
        <w:t>3</w:t>
      </w:r>
      <w:r w:rsidR="009A0E7B">
        <w:rPr>
          <w:noProof/>
        </w:rPr>
        <w:fldChar w:fldCharType="end"/>
      </w:r>
      <w:r w:rsidR="00EC2E6C">
        <w:t xml:space="preserve">: </w:t>
      </w:r>
      <w:r w:rsidR="008E2E23">
        <w:t xml:space="preserve">The percentage of households having vehicles in different sub-regions of </w:t>
      </w:r>
      <w:r w:rsidR="00242920">
        <w:t>Victoria.</w:t>
      </w:r>
      <w:bookmarkEnd w:id="7"/>
    </w:p>
    <w:tbl>
      <w:tblPr>
        <w:tblW w:w="9540" w:type="dxa"/>
        <w:tblLook w:val="04A0" w:firstRow="1" w:lastRow="0" w:firstColumn="1" w:lastColumn="0" w:noHBand="0" w:noVBand="1"/>
      </w:tblPr>
      <w:tblGrid>
        <w:gridCol w:w="1440"/>
        <w:gridCol w:w="1360"/>
        <w:gridCol w:w="1360"/>
        <w:gridCol w:w="1360"/>
        <w:gridCol w:w="1360"/>
        <w:gridCol w:w="1360"/>
        <w:gridCol w:w="1300"/>
      </w:tblGrid>
      <w:tr w:rsidR="004B5FE3" w:rsidRPr="004B5FE3" w14:paraId="2D3C2B01" w14:textId="77777777" w:rsidTr="004B5FE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290944" w14:textId="4B72034D" w:rsidR="004B5FE3" w:rsidRPr="004B5FE3" w:rsidRDefault="00BD6F3E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No of households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5565F2" w14:textId="3A9C4365" w:rsidR="004B5FE3" w:rsidRPr="004B5FE3" w:rsidRDefault="00BD6F3E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T</w:t>
            </w:r>
            <w:r w:rsidR="004B5FE3"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 xml:space="preserve"> vehicles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34D27F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7C4D52" w14:textId="77777777" w:rsidR="004B5FE3" w:rsidRPr="004B5FE3" w:rsidRDefault="004B5FE3" w:rsidP="004B5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AF0DF0" w14:textId="77777777" w:rsidR="004B5FE3" w:rsidRPr="004B5FE3" w:rsidRDefault="004B5FE3" w:rsidP="004B5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B6B783" w14:textId="77777777" w:rsidR="004B5FE3" w:rsidRPr="004B5FE3" w:rsidRDefault="004B5FE3" w:rsidP="004B5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AAD1B7" w14:textId="77777777" w:rsidR="004B5FE3" w:rsidRPr="004B5FE3" w:rsidRDefault="004B5FE3" w:rsidP="004B5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4B5FE3" w:rsidRPr="004B5FE3" w14:paraId="616E976F" w14:textId="77777777" w:rsidTr="004B5FE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4A90D0" w14:textId="195A50E6" w:rsidR="004B5FE3" w:rsidRPr="004B5FE3" w:rsidRDefault="00BD6F3E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Household Size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A27864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&lt;1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F185B1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1-2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A2D0B0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3-4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2CAD4E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5-6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015A1C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7-9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EAB6AB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</w:tr>
      <w:tr w:rsidR="004B5FE3" w:rsidRPr="004B5FE3" w14:paraId="78CB9D8C" w14:textId="77777777" w:rsidTr="004B5FE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6AF1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1-2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95CA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1835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31FC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14622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74F4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853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7768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7E31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D420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17364</w:t>
            </w:r>
          </w:p>
        </w:tc>
      </w:tr>
      <w:tr w:rsidR="004B5FE3" w:rsidRPr="004B5FE3" w14:paraId="284EC300" w14:textId="77777777" w:rsidTr="004B5FE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0077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3-4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B1C4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928F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7196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3013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2800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FE41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DAAE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219A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10380</w:t>
            </w:r>
          </w:p>
        </w:tc>
      </w:tr>
      <w:tr w:rsidR="004B5FE3" w:rsidRPr="004B5FE3" w14:paraId="4BF65E30" w14:textId="77777777" w:rsidTr="004B5FE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975C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lastRenderedPageBreak/>
              <w:t>5-6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A5C0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7DDB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1379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22DC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25C5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B3DC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C8B9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2300</w:t>
            </w:r>
          </w:p>
        </w:tc>
      </w:tr>
      <w:tr w:rsidR="004B5FE3" w:rsidRPr="004B5FE3" w14:paraId="13150628" w14:textId="77777777" w:rsidTr="004B5FE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3061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7-8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C405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B1EE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E78D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023C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94DB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8654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134</w:t>
            </w:r>
          </w:p>
        </w:tc>
      </w:tr>
      <w:tr w:rsidR="004B5FE3" w:rsidRPr="004B5FE3" w14:paraId="155CB2F6" w14:textId="77777777" w:rsidTr="004B5FE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E481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9-11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F6A4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B9E2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F7CE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7878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7D3E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91B4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17</w:t>
            </w:r>
          </w:p>
        </w:tc>
      </w:tr>
      <w:tr w:rsidR="004B5FE3" w:rsidRPr="004B5FE3" w14:paraId="7EDE508C" w14:textId="77777777" w:rsidTr="004B5FE3">
        <w:trPr>
          <w:trHeight w:val="320"/>
        </w:trPr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4A318E" w14:textId="77777777" w:rsidR="004B5FE3" w:rsidRPr="004B5FE3" w:rsidRDefault="004B5FE3" w:rsidP="004B5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5BD22D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2066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9AEE07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23279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AA48AC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4432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B2EF4A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401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92A6A7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10140F" w14:textId="77777777" w:rsidR="004B5FE3" w:rsidRPr="004B5FE3" w:rsidRDefault="004B5FE3" w:rsidP="004B5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4B5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30195</w:t>
            </w:r>
          </w:p>
        </w:tc>
      </w:tr>
    </w:tbl>
    <w:p w14:paraId="605C8DD1" w14:textId="3460A148" w:rsidR="00242920" w:rsidRDefault="004B5FE3" w:rsidP="004B5FE3">
      <w:pPr>
        <w:pStyle w:val="Caption"/>
      </w:pPr>
      <w:bookmarkStart w:id="8" w:name="_Toc143888510"/>
      <w:r>
        <w:t xml:space="preserve">Table </w:t>
      </w:r>
      <w:r w:rsidR="009A0E7B">
        <w:fldChar w:fldCharType="begin"/>
      </w:r>
      <w:r w:rsidR="009A0E7B">
        <w:instrText xml:space="preserve"> SEQ Table \* ARABIC </w:instrText>
      </w:r>
      <w:r w:rsidR="009A0E7B">
        <w:fldChar w:fldCharType="separate"/>
      </w:r>
      <w:r>
        <w:rPr>
          <w:noProof/>
        </w:rPr>
        <w:t>4</w:t>
      </w:r>
      <w:r w:rsidR="009A0E7B">
        <w:rPr>
          <w:noProof/>
        </w:rPr>
        <w:fldChar w:fldCharType="end"/>
      </w:r>
      <w:r>
        <w:t xml:space="preserve">: </w:t>
      </w:r>
      <w:r w:rsidR="00BD6F3E">
        <w:t xml:space="preserve">Comparison between the no of households and the vehicles they </w:t>
      </w:r>
      <w:proofErr w:type="gramStart"/>
      <w:r w:rsidR="00BD6F3E">
        <w:t>own</w:t>
      </w:r>
      <w:bookmarkEnd w:id="8"/>
      <w:proofErr w:type="gramEnd"/>
    </w:p>
    <w:p w14:paraId="009A288C" w14:textId="48E69F23" w:rsidR="004F4FB7" w:rsidRPr="00242920" w:rsidRDefault="004F4FB7" w:rsidP="00242920">
      <w:r>
        <w:t xml:space="preserve">Table </w:t>
      </w:r>
      <w:r w:rsidR="004B5FE3">
        <w:t>5</w:t>
      </w:r>
      <w:r>
        <w:t xml:space="preserve"> shows the percentage of households that owns bi</w:t>
      </w:r>
      <w:r w:rsidR="00211BE2">
        <w:t>cycles including adult and kids bikes</w:t>
      </w:r>
      <w:r>
        <w:t xml:space="preserve"> in different sub-regions</w:t>
      </w:r>
      <w:r w:rsidR="00365AC2">
        <w:t xml:space="preserve">. </w:t>
      </w:r>
      <w:r w:rsidR="00421270">
        <w:t>88% of the households across different regions owned a max of 3 bikes</w:t>
      </w:r>
      <w:r w:rsidR="00E22D63">
        <w:t>, out of which</w:t>
      </w:r>
      <w:r w:rsidR="001A1BE6">
        <w:t xml:space="preserve"> 143</w:t>
      </w:r>
      <w:r w:rsidR="009B51B8">
        <w:t>57</w:t>
      </w:r>
      <w:r w:rsidR="00E02FE3">
        <w:t xml:space="preserve"> </w:t>
      </w:r>
      <w:r w:rsidR="003815F3">
        <w:t>(47.55</w:t>
      </w:r>
      <w:r w:rsidR="00E02FE3">
        <w:t xml:space="preserve">%) </w:t>
      </w:r>
      <w:r w:rsidR="009B51B8">
        <w:t>households didn’t own a</w:t>
      </w:r>
      <w:r w:rsidR="00E02FE3">
        <w:t>ny</w:t>
      </w:r>
      <w:r w:rsidR="009B51B8">
        <w:t xml:space="preserve"> bike</w:t>
      </w:r>
      <w:r w:rsidR="00E02FE3">
        <w:t xml:space="preserve">. </w:t>
      </w:r>
      <w:r w:rsidR="00CD51C9">
        <w:t>0.</w:t>
      </w:r>
      <w:r w:rsidR="003815F3">
        <w:t>20</w:t>
      </w:r>
      <w:r w:rsidR="00CD51C9">
        <w:t>% of the households owned 10-1</w:t>
      </w:r>
      <w:r w:rsidR="003815F3">
        <w:t>5 bikes in total.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440"/>
        <w:gridCol w:w="1580"/>
        <w:gridCol w:w="1580"/>
        <w:gridCol w:w="1580"/>
        <w:gridCol w:w="1580"/>
        <w:gridCol w:w="1300"/>
      </w:tblGrid>
      <w:tr w:rsidR="008E2E23" w:rsidRPr="008E2E23" w14:paraId="12CABE7C" w14:textId="77777777" w:rsidTr="008E2E2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8AB42B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 xml:space="preserve">% of </w:t>
            </w:r>
            <w:proofErr w:type="spellStart"/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hhid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2EB5AE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Sub-Region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FCA8CE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E4C373" w14:textId="77777777" w:rsidR="008E2E23" w:rsidRPr="008E2E23" w:rsidRDefault="008E2E23" w:rsidP="008E2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2AD9BD" w14:textId="77777777" w:rsidR="008E2E23" w:rsidRPr="008E2E23" w:rsidRDefault="008E2E23" w:rsidP="008E2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EFDBA9" w14:textId="77777777" w:rsidR="008E2E23" w:rsidRPr="008E2E23" w:rsidRDefault="008E2E23" w:rsidP="008E2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8E2E23" w:rsidRPr="008E2E23" w14:paraId="68C4CFE9" w14:textId="77777777" w:rsidTr="008E2E2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A5798" w14:textId="07844DCA" w:rsidR="008E2E23" w:rsidRPr="008E2E23" w:rsidRDefault="00242920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total bikes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FF0CB4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Geelong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972EDA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Inner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D5CC1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Middle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0C1FD2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MELB - Outer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D8E9C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</w:tr>
      <w:tr w:rsidR="008E2E23" w:rsidRPr="008E2E23" w14:paraId="12704DC5" w14:textId="77777777" w:rsidTr="008E2E2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044B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&lt;1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B9B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44.02%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248A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44.24%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83B2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47.17%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1B08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48.89%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D3CE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47.55%</w:t>
            </w:r>
          </w:p>
        </w:tc>
      </w:tr>
      <w:tr w:rsidR="008E2E23" w:rsidRPr="008E2E23" w14:paraId="028BF8FB" w14:textId="77777777" w:rsidTr="008E2E2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406D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1-3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88D7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42.89%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6184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45.47%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F4BF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40.16%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1D86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40.04%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8B39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40.66%</w:t>
            </w:r>
          </w:p>
        </w:tc>
      </w:tr>
      <w:tr w:rsidR="008E2E23" w:rsidRPr="008E2E23" w14:paraId="361C4256" w14:textId="77777777" w:rsidTr="008E2E2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5E9E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4-6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BE66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11.78%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2838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9.68%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CC07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11.43%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00A8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9.96%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1E40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10.66%</w:t>
            </w:r>
          </w:p>
        </w:tc>
      </w:tr>
      <w:tr w:rsidR="008E2E23" w:rsidRPr="008E2E23" w14:paraId="0BAD4F99" w14:textId="77777777" w:rsidTr="008E2E2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A2D9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7-9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5538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1.01%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1EE2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0.53%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A044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1.00%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1436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0.94%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4EB5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0.94%</w:t>
            </w:r>
          </w:p>
        </w:tc>
      </w:tr>
      <w:tr w:rsidR="008E2E23" w:rsidRPr="008E2E23" w14:paraId="6EB79CDF" w14:textId="77777777" w:rsidTr="008E2E2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4BE5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10-12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4338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0.24%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8992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0.09%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71CA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0.18%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44BA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0.17%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4E18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0.17%</w:t>
            </w:r>
          </w:p>
        </w:tc>
      </w:tr>
      <w:tr w:rsidR="008E2E23" w:rsidRPr="008E2E23" w14:paraId="2C1B36E0" w14:textId="77777777" w:rsidTr="008E2E2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1305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13-15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71F8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0.06%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180E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0.00%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37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0.06%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9724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0B88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0.03%</w:t>
            </w:r>
          </w:p>
        </w:tc>
      </w:tr>
      <w:tr w:rsidR="008E2E23" w:rsidRPr="008E2E23" w14:paraId="63E40008" w14:textId="77777777" w:rsidTr="008E2E23">
        <w:trPr>
          <w:trHeight w:val="320"/>
        </w:trPr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14FA61" w14:textId="77777777" w:rsidR="008E2E23" w:rsidRPr="008E2E23" w:rsidRDefault="008E2E23" w:rsidP="008E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Grand Total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D62E42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B97DB4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185987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2F628B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E42172" w14:textId="77777777" w:rsidR="008E2E23" w:rsidRPr="008E2E23" w:rsidRDefault="008E2E23" w:rsidP="008E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8E2E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100.00%</w:t>
            </w:r>
          </w:p>
        </w:tc>
      </w:tr>
    </w:tbl>
    <w:p w14:paraId="1DC1B92D" w14:textId="06B8FA03" w:rsidR="009A7A2F" w:rsidRDefault="008E2E23" w:rsidP="008E2E23">
      <w:pPr>
        <w:pStyle w:val="Caption"/>
      </w:pPr>
      <w:bookmarkStart w:id="9" w:name="_Toc143888511"/>
      <w:r>
        <w:t xml:space="preserve">Table </w:t>
      </w:r>
      <w:r w:rsidR="009A0E7B">
        <w:fldChar w:fldCharType="begin"/>
      </w:r>
      <w:r w:rsidR="009A0E7B">
        <w:instrText xml:space="preserve"> SEQ Table \* ARABIC </w:instrText>
      </w:r>
      <w:r w:rsidR="009A0E7B">
        <w:fldChar w:fldCharType="separate"/>
      </w:r>
      <w:r w:rsidR="004B5FE3">
        <w:rPr>
          <w:noProof/>
        </w:rPr>
        <w:t>5</w:t>
      </w:r>
      <w:r w:rsidR="009A0E7B">
        <w:rPr>
          <w:noProof/>
        </w:rPr>
        <w:fldChar w:fldCharType="end"/>
      </w:r>
      <w:r>
        <w:t xml:space="preserve">: % of households having bikes in different Sub </w:t>
      </w:r>
      <w:r w:rsidR="00242920">
        <w:t>regions</w:t>
      </w:r>
      <w:r>
        <w:t xml:space="preserve"> of </w:t>
      </w:r>
      <w:r w:rsidR="00242920">
        <w:t>Victoria.</w:t>
      </w:r>
      <w:bookmarkEnd w:id="9"/>
    </w:p>
    <w:p w14:paraId="27DE7CBD" w14:textId="77777777" w:rsidR="00246B60" w:rsidRDefault="00246B60" w:rsidP="009A7A2F">
      <w:pPr>
        <w:pStyle w:val="Caption"/>
        <w:rPr>
          <w:i w:val="0"/>
          <w:iCs w:val="0"/>
        </w:rPr>
      </w:pPr>
    </w:p>
    <w:p w14:paraId="225CFC44" w14:textId="77777777" w:rsidR="006B2A94" w:rsidRDefault="006B2A94" w:rsidP="006B2A94">
      <w:pPr>
        <w:pStyle w:val="Caption"/>
        <w:keepNext/>
      </w:pPr>
      <w:r>
        <w:rPr>
          <w:noProof/>
        </w:rPr>
        <w:drawing>
          <wp:inline distT="0" distB="0" distL="0" distR="0" wp14:anchorId="23A5C504" wp14:editId="3BB29236">
            <wp:extent cx="5731510" cy="3539490"/>
            <wp:effectExtent l="0" t="0" r="8890" b="16510"/>
            <wp:docPr id="10623056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AAF011-03C4-A905-4706-D9FA2846C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4683A9" w14:textId="2B383BD9" w:rsidR="006B2A94" w:rsidRDefault="006B2A94" w:rsidP="006B2A94">
      <w:pPr>
        <w:pStyle w:val="Caption"/>
      </w:pPr>
      <w:bookmarkStart w:id="10" w:name="_Toc143888488"/>
      <w:r>
        <w:t xml:space="preserve">Figure </w:t>
      </w:r>
      <w:r w:rsidR="009A0E7B">
        <w:fldChar w:fldCharType="begin"/>
      </w:r>
      <w:r w:rsidR="009A0E7B">
        <w:instrText xml:space="preserve"> SEQ Figure \* ARABIC </w:instrText>
      </w:r>
      <w:r w:rsidR="009A0E7B">
        <w:fldChar w:fldCharType="separate"/>
      </w:r>
      <w:r>
        <w:rPr>
          <w:noProof/>
        </w:rPr>
        <w:t>3</w:t>
      </w:r>
      <w:r w:rsidR="009A0E7B">
        <w:rPr>
          <w:noProof/>
        </w:rPr>
        <w:fldChar w:fldCharType="end"/>
      </w:r>
      <w:r>
        <w:t xml:space="preserve"> : Comparison</w:t>
      </w:r>
      <w:r w:rsidR="004200DC">
        <w:t xml:space="preserve"> </w:t>
      </w:r>
      <w:r w:rsidR="00CC444E">
        <w:t>of the</w:t>
      </w:r>
      <w:r>
        <w:t xml:space="preserve"> average household income </w:t>
      </w:r>
      <w:r w:rsidR="001D3A6E">
        <w:t>and the Dwelling status across different types of dwellings</w:t>
      </w:r>
      <w:bookmarkEnd w:id="10"/>
    </w:p>
    <w:p w14:paraId="53A28463" w14:textId="4DEDC378" w:rsidR="001D3A6E" w:rsidRPr="001D3A6E" w:rsidRDefault="004C414A" w:rsidP="001D3A6E">
      <w:r>
        <w:t>Figure 3 shows th</w:t>
      </w:r>
      <w:r w:rsidR="0047705B">
        <w:t>at the households with highest average income</w:t>
      </w:r>
      <w:r w:rsidR="00DE1900">
        <w:t xml:space="preserve"> </w:t>
      </w:r>
      <w:r w:rsidR="001D51BD">
        <w:t>over 2000</w:t>
      </w:r>
      <w:r w:rsidR="00F05F7E">
        <w:t>$ tend</w:t>
      </w:r>
      <w:r w:rsidR="001A05CF">
        <w:t xml:space="preserve"> to </w:t>
      </w:r>
      <w:r w:rsidR="00EF2726">
        <w:t>take a mortgage to purchase</w:t>
      </w:r>
      <w:r w:rsidR="001A05CF">
        <w:t xml:space="preserve"> </w:t>
      </w:r>
      <w:r w:rsidR="00EF2726">
        <w:t>Terrace</w:t>
      </w:r>
      <w:r w:rsidR="004D37CC">
        <w:t>/townhouses</w:t>
      </w:r>
      <w:r w:rsidR="00F86F3A">
        <w:t xml:space="preserve"> or Separate houses</w:t>
      </w:r>
      <w:r w:rsidR="004D37CC">
        <w:t>.</w:t>
      </w:r>
      <w:r w:rsidR="003D2809">
        <w:t xml:space="preserve"> The </w:t>
      </w:r>
      <w:r w:rsidR="00F05F7E">
        <w:t>homeowners</w:t>
      </w:r>
      <w:r w:rsidR="003D2809">
        <w:t xml:space="preserve"> </w:t>
      </w:r>
      <w:r w:rsidR="00700628">
        <w:t>are</w:t>
      </w:r>
      <w:r w:rsidR="003D2809">
        <w:t xml:space="preserve"> seen to have </w:t>
      </w:r>
      <w:r w:rsidR="003D2809">
        <w:lastRenderedPageBreak/>
        <w:t xml:space="preserve">an average </w:t>
      </w:r>
      <w:r w:rsidR="00A8599A">
        <w:t>income of 1592$</w:t>
      </w:r>
      <w:r w:rsidR="00700830">
        <w:t xml:space="preserve">, while renters have an average income of 1635$. </w:t>
      </w:r>
      <w:r w:rsidR="004749F6">
        <w:t>Renters</w:t>
      </w:r>
      <w:r w:rsidR="00B87B52">
        <w:t xml:space="preserve"> with high average income</w:t>
      </w:r>
      <w:r w:rsidR="004749F6">
        <w:t xml:space="preserve"> prefers terrace/townhouses over the other types.</w:t>
      </w:r>
      <w:r w:rsidR="00750584">
        <w:t xml:space="preserve"> </w:t>
      </w:r>
    </w:p>
    <w:p w14:paraId="1FCE1453" w14:textId="28EFD93E" w:rsidR="007D126C" w:rsidRDefault="007D126C" w:rsidP="007D126C">
      <w:pPr>
        <w:pStyle w:val="Heading1"/>
      </w:pPr>
      <w:bookmarkStart w:id="11" w:name="_Toc487534189"/>
      <w:r>
        <w:t>Conclusion</w:t>
      </w:r>
      <w:bookmarkEnd w:id="11"/>
    </w:p>
    <w:p w14:paraId="6284B3DD" w14:textId="77777777" w:rsidR="00A21A16" w:rsidRDefault="00A21A16" w:rsidP="00A21A16">
      <w:r>
        <w:t xml:space="preserve">Households that were part of the Survey were majorly from the Melbourne Middle and outer region, with 42% of the members in the age group of 20-39 years. There is a significant difference in the travel during the weekday and weekend, with 74.09% of the households travelling during the weekday, compared to a 25.91% during the weekend. It was also noticed that majority of the household owned on an average 1-3 vehicles and bicycles. However, the no of vehicles owned doesn’t really depend on the number of members in the household. The study also indicated that households with over 2000$ average income tend to purchase Terrace/townhouses or Separate housings. </w:t>
      </w:r>
    </w:p>
    <w:p w14:paraId="17F516F4" w14:textId="77777777" w:rsidR="00A21A16" w:rsidRDefault="00A21A16" w:rsidP="00A21A16">
      <w:r>
        <w:t>It recommended to conduct further studies on the route taken by the vehicle/bike owners to understand if there is a lack of public transport in these routes.</w:t>
      </w:r>
    </w:p>
    <w:p w14:paraId="545719F7" w14:textId="77777777" w:rsidR="005C0247" w:rsidRDefault="005C0247">
      <w:r>
        <w:br w:type="page"/>
      </w:r>
    </w:p>
    <w:bookmarkStart w:id="12" w:name="_Toc4875341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4727314"/>
        <w:docPartObj>
          <w:docPartGallery w:val="Bibliographies"/>
          <w:docPartUnique/>
        </w:docPartObj>
      </w:sdtPr>
      <w:sdtEndPr/>
      <w:sdtContent>
        <w:p w14:paraId="2912EBA7" w14:textId="77777777" w:rsidR="001F4712" w:rsidRDefault="00CF5469">
          <w:pPr>
            <w:pStyle w:val="Heading1"/>
          </w:pPr>
          <w:r>
            <w:t>References</w:t>
          </w:r>
          <w:bookmarkEnd w:id="12"/>
        </w:p>
        <w:p w14:paraId="55E73EAF" w14:textId="77777777" w:rsidR="001F4712" w:rsidRDefault="001F4712" w:rsidP="001F4712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p w14:paraId="235C9153" w14:textId="77777777" w:rsidR="001F4712" w:rsidRDefault="001F4712" w:rsidP="001F471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Victoria, State Government of. 2007. “Victorian Integrated Survey of Travel and Activity (VISTA).” </w:t>
          </w:r>
          <w:r>
            <w:rPr>
              <w:i/>
              <w:iCs/>
              <w:noProof/>
            </w:rPr>
            <w:t>Data VIC.</w:t>
          </w:r>
          <w:r>
            <w:rPr>
              <w:noProof/>
            </w:rPr>
            <w:t xml:space="preserve"> 5 01. Accessed Aug 20, 2023. https://discover.data.vic.gov.au/dataset/victorian-integrated-survey-of-travel-and-activity.</w:t>
          </w:r>
        </w:p>
        <w:p w14:paraId="2C8BFDA9" w14:textId="313FD726" w:rsidR="00CF5469" w:rsidRPr="001F4712" w:rsidRDefault="001F4712" w:rsidP="001F4712">
          <w:r>
            <w:rPr>
              <w:b/>
              <w:bCs/>
              <w:noProof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1898319"/>
        <w:docPartObj>
          <w:docPartGallery w:val="Bibliographies"/>
          <w:docPartUnique/>
        </w:docPartObj>
      </w:sdtPr>
      <w:sdtEndPr/>
      <w:sdtContent>
        <w:p w14:paraId="212105D8" w14:textId="40893AC7" w:rsidR="00BC4959" w:rsidRDefault="00BC4959">
          <w:pPr>
            <w:pStyle w:val="Heading1"/>
          </w:pPr>
        </w:p>
        <w:sdt>
          <w:sdtPr>
            <w:id w:val="111145805"/>
            <w:showingPlcHdr/>
            <w:bibliography/>
          </w:sdtPr>
          <w:sdtEndPr/>
          <w:sdtContent>
            <w:p w14:paraId="0AEA0650" w14:textId="20661415" w:rsidR="00BC4959" w:rsidRDefault="001F4712" w:rsidP="00BC4959">
              <w:r>
                <w:t xml:space="preserve">     </w:t>
              </w:r>
            </w:p>
          </w:sdtContent>
        </w:sdt>
      </w:sdtContent>
    </w:sdt>
    <w:p w14:paraId="7BBD301A" w14:textId="128572FD" w:rsidR="00385C9E" w:rsidRDefault="00385C9E" w:rsidP="005C0247">
      <w:r>
        <w:br w:type="page"/>
      </w:r>
    </w:p>
    <w:p w14:paraId="18437688" w14:textId="7B1C6E26" w:rsidR="00CF5469" w:rsidRDefault="00385C9E" w:rsidP="00385C9E">
      <w:pPr>
        <w:pStyle w:val="Heading1"/>
      </w:pPr>
      <w:r>
        <w:lastRenderedPageBreak/>
        <w:t>Appendix</w:t>
      </w:r>
    </w:p>
    <w:p w14:paraId="0CBA95BA" w14:textId="6D0EC607" w:rsidR="00385C9E" w:rsidRDefault="00385C9E" w:rsidP="00385C9E"/>
    <w:p w14:paraId="04639578" w14:textId="4037788D" w:rsidR="000D7DA4" w:rsidRDefault="00314AA1" w:rsidP="0024684F">
      <w:pPr>
        <w:pStyle w:val="ListParagraph"/>
        <w:numPr>
          <w:ilvl w:val="0"/>
          <w:numId w:val="2"/>
        </w:numPr>
        <w:rPr>
          <w:lang w:val="en-GB"/>
        </w:rPr>
      </w:pPr>
      <w:r w:rsidRPr="0024684F">
        <w:t xml:space="preserve">Formula used in Excel to calculate </w:t>
      </w:r>
      <w:r w:rsidR="0024684F" w:rsidRPr="0024684F">
        <w:rPr>
          <w:lang w:val="en-GB"/>
        </w:rPr>
        <w:t>total number of FWD (four-wheel drive) vehicles, for separate dwellings households, that were not from the Geelong region and were renting or currently paying a mortgage</w:t>
      </w:r>
      <w:r w:rsidR="0024684F">
        <w:rPr>
          <w:lang w:val="en-GB"/>
        </w:rPr>
        <w:t>:</w:t>
      </w:r>
    </w:p>
    <w:p w14:paraId="77992DBC" w14:textId="77777777" w:rsidR="0014161A" w:rsidRDefault="0014161A" w:rsidP="0014161A">
      <w:pPr>
        <w:pStyle w:val="ListParagraph"/>
        <w:rPr>
          <w:lang w:val="en-GB"/>
        </w:rPr>
      </w:pPr>
    </w:p>
    <w:p w14:paraId="678F8CD6" w14:textId="193BC38F" w:rsidR="0024684F" w:rsidRPr="0024684F" w:rsidRDefault="0014161A" w:rsidP="0024684F">
      <w:pPr>
        <w:pStyle w:val="ListParagraph"/>
        <w:rPr>
          <w:lang w:val="en-GB"/>
        </w:rPr>
      </w:pPr>
      <w:r w:rsidRPr="0014161A">
        <w:rPr>
          <w:lang w:val="en-GB"/>
        </w:rPr>
        <w:t>=</w:t>
      </w:r>
      <w:proofErr w:type="gramStart"/>
      <w:r w:rsidRPr="0014161A">
        <w:rPr>
          <w:lang w:val="en-GB"/>
        </w:rPr>
        <w:t>SUM(</w:t>
      </w:r>
      <w:proofErr w:type="gramEnd"/>
      <w:r w:rsidRPr="0014161A">
        <w:rPr>
          <w:lang w:val="en-GB"/>
        </w:rPr>
        <w:t>SUMIFS($T:$T,$F:$</w:t>
      </w:r>
      <w:proofErr w:type="spellStart"/>
      <w:r w:rsidRPr="0014161A">
        <w:rPr>
          <w:lang w:val="en-GB"/>
        </w:rPr>
        <w:t>F,"Separate</w:t>
      </w:r>
      <w:proofErr w:type="spellEnd"/>
      <w:r w:rsidRPr="0014161A">
        <w:rPr>
          <w:lang w:val="en-GB"/>
        </w:rPr>
        <w:t xml:space="preserve"> </w:t>
      </w:r>
      <w:proofErr w:type="spellStart"/>
      <w:r w:rsidRPr="0014161A">
        <w:rPr>
          <w:lang w:val="en-GB"/>
        </w:rPr>
        <w:t>House",$AE</w:t>
      </w:r>
      <w:proofErr w:type="spellEnd"/>
      <w:r w:rsidRPr="0014161A">
        <w:rPr>
          <w:lang w:val="en-GB"/>
        </w:rPr>
        <w:t xml:space="preserve">:$AE,"MSD_31LGAs",$G:$G,{"Being </w:t>
      </w:r>
      <w:proofErr w:type="spellStart"/>
      <w:r w:rsidRPr="0014161A">
        <w:rPr>
          <w:lang w:val="en-GB"/>
        </w:rPr>
        <w:t>Purchased","Being</w:t>
      </w:r>
      <w:proofErr w:type="spellEnd"/>
      <w:r w:rsidRPr="0014161A">
        <w:rPr>
          <w:lang w:val="en-GB"/>
        </w:rPr>
        <w:t xml:space="preserve"> Rented"}))</w:t>
      </w:r>
    </w:p>
    <w:sectPr w:rsidR="0024684F" w:rsidRPr="0024684F" w:rsidSect="000C0592">
      <w:headerReference w:type="default" r:id="rId14"/>
      <w:footerReference w:type="default" r:id="rId15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8042" w14:textId="77777777" w:rsidR="00BC4812" w:rsidRDefault="00BC4812" w:rsidP="007D126C">
      <w:pPr>
        <w:spacing w:after="0" w:line="240" w:lineRule="auto"/>
      </w:pPr>
      <w:r>
        <w:separator/>
      </w:r>
    </w:p>
  </w:endnote>
  <w:endnote w:type="continuationSeparator" w:id="0">
    <w:p w14:paraId="4BA91CF3" w14:textId="77777777" w:rsidR="00BC4812" w:rsidRDefault="00BC4812" w:rsidP="007D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EF58" w14:textId="77777777" w:rsidR="001D6754" w:rsidRDefault="001D6754" w:rsidP="000C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99603" w14:textId="77777777" w:rsidR="00BC4812" w:rsidRDefault="00BC4812" w:rsidP="007D126C">
      <w:pPr>
        <w:spacing w:after="0" w:line="240" w:lineRule="auto"/>
      </w:pPr>
      <w:r>
        <w:separator/>
      </w:r>
    </w:p>
  </w:footnote>
  <w:footnote w:type="continuationSeparator" w:id="0">
    <w:p w14:paraId="726EF3DB" w14:textId="77777777" w:rsidR="00BC4812" w:rsidRDefault="00BC4812" w:rsidP="007D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E7F4" w14:textId="7A93D32C" w:rsidR="001D6754" w:rsidRPr="00276472" w:rsidRDefault="001D6754">
    <w:pPr>
      <w:pStyle w:val="Header"/>
      <w:rPr>
        <w:sz w:val="20"/>
        <w:szCs w:val="20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5B9"/>
    <w:multiLevelType w:val="hybridMultilevel"/>
    <w:tmpl w:val="4F98EA26"/>
    <w:lvl w:ilvl="0" w:tplc="ED9AD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D56AD"/>
    <w:multiLevelType w:val="hybridMultilevel"/>
    <w:tmpl w:val="C6869A2A"/>
    <w:lvl w:ilvl="0" w:tplc="D28256AE">
      <w:start w:val="1"/>
      <w:numFmt w:val="decimal"/>
      <w:lvlText w:val="%1."/>
      <w:lvlJc w:val="left"/>
      <w:pPr>
        <w:ind w:left="390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 w:tplc="B06A8544">
      <w:numFmt w:val="bullet"/>
      <w:lvlText w:val=""/>
      <w:lvlJc w:val="left"/>
      <w:pPr>
        <w:ind w:left="67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2" w:tplc="0264226A">
      <w:numFmt w:val="bullet"/>
      <w:lvlText w:val="•"/>
      <w:lvlJc w:val="left"/>
      <w:pPr>
        <w:ind w:left="1825" w:hanging="284"/>
      </w:pPr>
      <w:rPr>
        <w:rFonts w:hint="default"/>
        <w:lang w:val="en-US" w:eastAsia="en-US" w:bidi="ar-SA"/>
      </w:rPr>
    </w:lvl>
    <w:lvl w:ilvl="3" w:tplc="A802ED52">
      <w:numFmt w:val="bullet"/>
      <w:lvlText w:val="•"/>
      <w:lvlJc w:val="left"/>
      <w:pPr>
        <w:ind w:left="2970" w:hanging="284"/>
      </w:pPr>
      <w:rPr>
        <w:rFonts w:hint="default"/>
        <w:lang w:val="en-US" w:eastAsia="en-US" w:bidi="ar-SA"/>
      </w:rPr>
    </w:lvl>
    <w:lvl w:ilvl="4" w:tplc="037607E0">
      <w:numFmt w:val="bullet"/>
      <w:lvlText w:val="•"/>
      <w:lvlJc w:val="left"/>
      <w:pPr>
        <w:ind w:left="4115" w:hanging="284"/>
      </w:pPr>
      <w:rPr>
        <w:rFonts w:hint="default"/>
        <w:lang w:val="en-US" w:eastAsia="en-US" w:bidi="ar-SA"/>
      </w:rPr>
    </w:lvl>
    <w:lvl w:ilvl="5" w:tplc="72884C4C">
      <w:numFmt w:val="bullet"/>
      <w:lvlText w:val="•"/>
      <w:lvlJc w:val="left"/>
      <w:pPr>
        <w:ind w:left="5260" w:hanging="284"/>
      </w:pPr>
      <w:rPr>
        <w:rFonts w:hint="default"/>
        <w:lang w:val="en-US" w:eastAsia="en-US" w:bidi="ar-SA"/>
      </w:rPr>
    </w:lvl>
    <w:lvl w:ilvl="6" w:tplc="535C5B4C">
      <w:numFmt w:val="bullet"/>
      <w:lvlText w:val="•"/>
      <w:lvlJc w:val="left"/>
      <w:pPr>
        <w:ind w:left="6405" w:hanging="284"/>
      </w:pPr>
      <w:rPr>
        <w:rFonts w:hint="default"/>
        <w:lang w:val="en-US" w:eastAsia="en-US" w:bidi="ar-SA"/>
      </w:rPr>
    </w:lvl>
    <w:lvl w:ilvl="7" w:tplc="F738AB9E">
      <w:numFmt w:val="bullet"/>
      <w:lvlText w:val="•"/>
      <w:lvlJc w:val="left"/>
      <w:pPr>
        <w:ind w:left="7550" w:hanging="284"/>
      </w:pPr>
      <w:rPr>
        <w:rFonts w:hint="default"/>
        <w:lang w:val="en-US" w:eastAsia="en-US" w:bidi="ar-SA"/>
      </w:rPr>
    </w:lvl>
    <w:lvl w:ilvl="8" w:tplc="80E0A0F8">
      <w:numFmt w:val="bullet"/>
      <w:lvlText w:val="•"/>
      <w:lvlJc w:val="left"/>
      <w:pPr>
        <w:ind w:left="8695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6B9B634B"/>
    <w:multiLevelType w:val="hybridMultilevel"/>
    <w:tmpl w:val="3680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7784B"/>
    <w:multiLevelType w:val="hybridMultilevel"/>
    <w:tmpl w:val="4720ECB0"/>
    <w:lvl w:ilvl="0" w:tplc="BFDCE510">
      <w:start w:val="1"/>
      <w:numFmt w:val="decimal"/>
      <w:lvlText w:val="%1."/>
      <w:lvlJc w:val="left"/>
      <w:pPr>
        <w:ind w:left="390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 w:tplc="1C044C3E">
      <w:numFmt w:val="bullet"/>
      <w:lvlText w:val="•"/>
      <w:lvlJc w:val="left"/>
      <w:pPr>
        <w:ind w:left="1458" w:hanging="284"/>
      </w:pPr>
      <w:rPr>
        <w:rFonts w:hint="default"/>
        <w:lang w:val="en-US" w:eastAsia="en-US" w:bidi="ar-SA"/>
      </w:rPr>
    </w:lvl>
    <w:lvl w:ilvl="2" w:tplc="40B033C8">
      <w:numFmt w:val="bullet"/>
      <w:lvlText w:val="•"/>
      <w:lvlJc w:val="left"/>
      <w:pPr>
        <w:ind w:left="2517" w:hanging="284"/>
      </w:pPr>
      <w:rPr>
        <w:rFonts w:hint="default"/>
        <w:lang w:val="en-US" w:eastAsia="en-US" w:bidi="ar-SA"/>
      </w:rPr>
    </w:lvl>
    <w:lvl w:ilvl="3" w:tplc="D71A7B32">
      <w:numFmt w:val="bullet"/>
      <w:lvlText w:val="•"/>
      <w:lvlJc w:val="left"/>
      <w:pPr>
        <w:ind w:left="3575" w:hanging="284"/>
      </w:pPr>
      <w:rPr>
        <w:rFonts w:hint="default"/>
        <w:lang w:val="en-US" w:eastAsia="en-US" w:bidi="ar-SA"/>
      </w:rPr>
    </w:lvl>
    <w:lvl w:ilvl="4" w:tplc="CE5299B4">
      <w:numFmt w:val="bullet"/>
      <w:lvlText w:val="•"/>
      <w:lvlJc w:val="left"/>
      <w:pPr>
        <w:ind w:left="4634" w:hanging="284"/>
      </w:pPr>
      <w:rPr>
        <w:rFonts w:hint="default"/>
        <w:lang w:val="en-US" w:eastAsia="en-US" w:bidi="ar-SA"/>
      </w:rPr>
    </w:lvl>
    <w:lvl w:ilvl="5" w:tplc="26307AA4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6" w:tplc="54360E22">
      <w:numFmt w:val="bullet"/>
      <w:lvlText w:val="•"/>
      <w:lvlJc w:val="left"/>
      <w:pPr>
        <w:ind w:left="6751" w:hanging="284"/>
      </w:pPr>
      <w:rPr>
        <w:rFonts w:hint="default"/>
        <w:lang w:val="en-US" w:eastAsia="en-US" w:bidi="ar-SA"/>
      </w:rPr>
    </w:lvl>
    <w:lvl w:ilvl="7" w:tplc="AD74E24E"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  <w:lvl w:ilvl="8" w:tplc="564CFA64">
      <w:numFmt w:val="bullet"/>
      <w:lvlText w:val="•"/>
      <w:lvlJc w:val="left"/>
      <w:pPr>
        <w:ind w:left="8868" w:hanging="284"/>
      </w:pPr>
      <w:rPr>
        <w:rFonts w:hint="default"/>
        <w:lang w:val="en-US" w:eastAsia="en-US" w:bidi="ar-SA"/>
      </w:rPr>
    </w:lvl>
  </w:abstractNum>
  <w:num w:numId="1" w16cid:durableId="1357996867">
    <w:abstractNumId w:val="0"/>
  </w:num>
  <w:num w:numId="2" w16cid:durableId="1761483274">
    <w:abstractNumId w:val="2"/>
  </w:num>
  <w:num w:numId="3" w16cid:durableId="1140075748">
    <w:abstractNumId w:val="3"/>
  </w:num>
  <w:num w:numId="4" w16cid:durableId="1885291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7F"/>
    <w:rsid w:val="000126E6"/>
    <w:rsid w:val="0002574E"/>
    <w:rsid w:val="000500BC"/>
    <w:rsid w:val="00061AC7"/>
    <w:rsid w:val="00073442"/>
    <w:rsid w:val="00073ECD"/>
    <w:rsid w:val="00092D21"/>
    <w:rsid w:val="00095919"/>
    <w:rsid w:val="000A48EE"/>
    <w:rsid w:val="000B0A86"/>
    <w:rsid w:val="000C0592"/>
    <w:rsid w:val="000D3BE3"/>
    <w:rsid w:val="000D7DA4"/>
    <w:rsid w:val="000E729A"/>
    <w:rsid w:val="00106350"/>
    <w:rsid w:val="00116D42"/>
    <w:rsid w:val="00124F26"/>
    <w:rsid w:val="0013325E"/>
    <w:rsid w:val="001340D4"/>
    <w:rsid w:val="00136FBE"/>
    <w:rsid w:val="0014161A"/>
    <w:rsid w:val="00145D5D"/>
    <w:rsid w:val="00152625"/>
    <w:rsid w:val="00164F48"/>
    <w:rsid w:val="00173E19"/>
    <w:rsid w:val="00175341"/>
    <w:rsid w:val="00180868"/>
    <w:rsid w:val="00195639"/>
    <w:rsid w:val="001A05CF"/>
    <w:rsid w:val="001A19C7"/>
    <w:rsid w:val="001A1BE6"/>
    <w:rsid w:val="001C75DD"/>
    <w:rsid w:val="001D3A6E"/>
    <w:rsid w:val="001D3C15"/>
    <w:rsid w:val="001D4262"/>
    <w:rsid w:val="001D480A"/>
    <w:rsid w:val="001D51BD"/>
    <w:rsid w:val="001D555D"/>
    <w:rsid w:val="001D6754"/>
    <w:rsid w:val="001F4712"/>
    <w:rsid w:val="001F78E9"/>
    <w:rsid w:val="00211BE2"/>
    <w:rsid w:val="00237B59"/>
    <w:rsid w:val="00241532"/>
    <w:rsid w:val="00242920"/>
    <w:rsid w:val="0024684F"/>
    <w:rsid w:val="00246B60"/>
    <w:rsid w:val="00251E6C"/>
    <w:rsid w:val="002526F8"/>
    <w:rsid w:val="00253808"/>
    <w:rsid w:val="00257DE8"/>
    <w:rsid w:val="00276472"/>
    <w:rsid w:val="00285F14"/>
    <w:rsid w:val="002A4779"/>
    <w:rsid w:val="002A6856"/>
    <w:rsid w:val="002C3DA3"/>
    <w:rsid w:val="002E13F9"/>
    <w:rsid w:val="002F75F6"/>
    <w:rsid w:val="002F7DDE"/>
    <w:rsid w:val="00311DBD"/>
    <w:rsid w:val="00314AA1"/>
    <w:rsid w:val="00324C2B"/>
    <w:rsid w:val="00334BFC"/>
    <w:rsid w:val="003474B4"/>
    <w:rsid w:val="00355803"/>
    <w:rsid w:val="00360A56"/>
    <w:rsid w:val="00363B17"/>
    <w:rsid w:val="00365AC2"/>
    <w:rsid w:val="00367F46"/>
    <w:rsid w:val="00376974"/>
    <w:rsid w:val="003815F3"/>
    <w:rsid w:val="00383B32"/>
    <w:rsid w:val="00385C9E"/>
    <w:rsid w:val="003B562C"/>
    <w:rsid w:val="003C6DFF"/>
    <w:rsid w:val="003D222A"/>
    <w:rsid w:val="003D2809"/>
    <w:rsid w:val="003F5A55"/>
    <w:rsid w:val="004061D7"/>
    <w:rsid w:val="004200DC"/>
    <w:rsid w:val="00420FDD"/>
    <w:rsid w:val="00421270"/>
    <w:rsid w:val="004220B0"/>
    <w:rsid w:val="0042412C"/>
    <w:rsid w:val="00424880"/>
    <w:rsid w:val="00424D89"/>
    <w:rsid w:val="00433468"/>
    <w:rsid w:val="00433EE8"/>
    <w:rsid w:val="004348BE"/>
    <w:rsid w:val="00462F4B"/>
    <w:rsid w:val="00464EFC"/>
    <w:rsid w:val="00466EA3"/>
    <w:rsid w:val="0047219A"/>
    <w:rsid w:val="00472DE4"/>
    <w:rsid w:val="004749F6"/>
    <w:rsid w:val="0047705B"/>
    <w:rsid w:val="00480CEC"/>
    <w:rsid w:val="004939EB"/>
    <w:rsid w:val="004A4F12"/>
    <w:rsid w:val="004B0A36"/>
    <w:rsid w:val="004B40BC"/>
    <w:rsid w:val="004B5FE3"/>
    <w:rsid w:val="004C414A"/>
    <w:rsid w:val="004C609C"/>
    <w:rsid w:val="004C7DDD"/>
    <w:rsid w:val="004D06F9"/>
    <w:rsid w:val="004D19E4"/>
    <w:rsid w:val="004D37CC"/>
    <w:rsid w:val="004E4C80"/>
    <w:rsid w:val="004F1340"/>
    <w:rsid w:val="004F3611"/>
    <w:rsid w:val="004F3743"/>
    <w:rsid w:val="004F4FB7"/>
    <w:rsid w:val="00500958"/>
    <w:rsid w:val="005033E0"/>
    <w:rsid w:val="00527C1C"/>
    <w:rsid w:val="00550097"/>
    <w:rsid w:val="005B067F"/>
    <w:rsid w:val="005B3BFB"/>
    <w:rsid w:val="005B63D0"/>
    <w:rsid w:val="005C0247"/>
    <w:rsid w:val="005E2DC9"/>
    <w:rsid w:val="005E52DE"/>
    <w:rsid w:val="005E7828"/>
    <w:rsid w:val="006065EC"/>
    <w:rsid w:val="00617DD0"/>
    <w:rsid w:val="00626527"/>
    <w:rsid w:val="00632670"/>
    <w:rsid w:val="006425B8"/>
    <w:rsid w:val="00650651"/>
    <w:rsid w:val="0068537E"/>
    <w:rsid w:val="006939F6"/>
    <w:rsid w:val="006A5F35"/>
    <w:rsid w:val="006B086A"/>
    <w:rsid w:val="006B1F04"/>
    <w:rsid w:val="006B2A94"/>
    <w:rsid w:val="006C5965"/>
    <w:rsid w:val="006C7C1C"/>
    <w:rsid w:val="006D5226"/>
    <w:rsid w:val="006E1BF4"/>
    <w:rsid w:val="006F3BBB"/>
    <w:rsid w:val="00700628"/>
    <w:rsid w:val="00700830"/>
    <w:rsid w:val="0070607F"/>
    <w:rsid w:val="007153CA"/>
    <w:rsid w:val="00750584"/>
    <w:rsid w:val="00754872"/>
    <w:rsid w:val="00755D2F"/>
    <w:rsid w:val="00761CA4"/>
    <w:rsid w:val="00771204"/>
    <w:rsid w:val="007826F3"/>
    <w:rsid w:val="00786910"/>
    <w:rsid w:val="00787C8E"/>
    <w:rsid w:val="007A5C72"/>
    <w:rsid w:val="007B5E37"/>
    <w:rsid w:val="007B63E6"/>
    <w:rsid w:val="007C1B2C"/>
    <w:rsid w:val="007C5E55"/>
    <w:rsid w:val="007D126C"/>
    <w:rsid w:val="007F5BC1"/>
    <w:rsid w:val="008177CD"/>
    <w:rsid w:val="00822ADE"/>
    <w:rsid w:val="00831767"/>
    <w:rsid w:val="00880DE4"/>
    <w:rsid w:val="008979DA"/>
    <w:rsid w:val="008A072E"/>
    <w:rsid w:val="008A5E7D"/>
    <w:rsid w:val="008C3D85"/>
    <w:rsid w:val="008C547F"/>
    <w:rsid w:val="008D18FA"/>
    <w:rsid w:val="008E2E23"/>
    <w:rsid w:val="008E3B27"/>
    <w:rsid w:val="008E581A"/>
    <w:rsid w:val="008F76D2"/>
    <w:rsid w:val="00925366"/>
    <w:rsid w:val="00945A94"/>
    <w:rsid w:val="00962116"/>
    <w:rsid w:val="00993301"/>
    <w:rsid w:val="009A080D"/>
    <w:rsid w:val="009A0E7B"/>
    <w:rsid w:val="009A7A2F"/>
    <w:rsid w:val="009B482E"/>
    <w:rsid w:val="009B484B"/>
    <w:rsid w:val="009B51B8"/>
    <w:rsid w:val="009D359E"/>
    <w:rsid w:val="00A01440"/>
    <w:rsid w:val="00A12361"/>
    <w:rsid w:val="00A21A16"/>
    <w:rsid w:val="00A22165"/>
    <w:rsid w:val="00A4374C"/>
    <w:rsid w:val="00A43D00"/>
    <w:rsid w:val="00A5364B"/>
    <w:rsid w:val="00A61C24"/>
    <w:rsid w:val="00A677B1"/>
    <w:rsid w:val="00A7086E"/>
    <w:rsid w:val="00A8599A"/>
    <w:rsid w:val="00A96C8F"/>
    <w:rsid w:val="00AB70B0"/>
    <w:rsid w:val="00AC5169"/>
    <w:rsid w:val="00AD25E1"/>
    <w:rsid w:val="00AE4991"/>
    <w:rsid w:val="00B07D2C"/>
    <w:rsid w:val="00B2738B"/>
    <w:rsid w:val="00B27CEF"/>
    <w:rsid w:val="00B3783D"/>
    <w:rsid w:val="00B425DF"/>
    <w:rsid w:val="00B44458"/>
    <w:rsid w:val="00B51134"/>
    <w:rsid w:val="00B52CC2"/>
    <w:rsid w:val="00B7012C"/>
    <w:rsid w:val="00B87B52"/>
    <w:rsid w:val="00BA0529"/>
    <w:rsid w:val="00BB70E4"/>
    <w:rsid w:val="00BC4812"/>
    <w:rsid w:val="00BC4959"/>
    <w:rsid w:val="00BD13FB"/>
    <w:rsid w:val="00BD59E6"/>
    <w:rsid w:val="00BD6F3E"/>
    <w:rsid w:val="00C00792"/>
    <w:rsid w:val="00C07337"/>
    <w:rsid w:val="00C76136"/>
    <w:rsid w:val="00C91049"/>
    <w:rsid w:val="00CB706B"/>
    <w:rsid w:val="00CC444E"/>
    <w:rsid w:val="00CD51C9"/>
    <w:rsid w:val="00CF3322"/>
    <w:rsid w:val="00CF5469"/>
    <w:rsid w:val="00CF62AE"/>
    <w:rsid w:val="00D11F57"/>
    <w:rsid w:val="00D12F51"/>
    <w:rsid w:val="00D20721"/>
    <w:rsid w:val="00D20CE0"/>
    <w:rsid w:val="00D22918"/>
    <w:rsid w:val="00D22DF1"/>
    <w:rsid w:val="00D23321"/>
    <w:rsid w:val="00D33099"/>
    <w:rsid w:val="00D54394"/>
    <w:rsid w:val="00D76E1E"/>
    <w:rsid w:val="00D935E1"/>
    <w:rsid w:val="00DB0DAF"/>
    <w:rsid w:val="00DE1900"/>
    <w:rsid w:val="00DE2524"/>
    <w:rsid w:val="00DE761D"/>
    <w:rsid w:val="00E02FE3"/>
    <w:rsid w:val="00E22D63"/>
    <w:rsid w:val="00E33E53"/>
    <w:rsid w:val="00E34E2A"/>
    <w:rsid w:val="00E47ACF"/>
    <w:rsid w:val="00E67FAE"/>
    <w:rsid w:val="00E715F8"/>
    <w:rsid w:val="00E777A1"/>
    <w:rsid w:val="00E86CEC"/>
    <w:rsid w:val="00E91309"/>
    <w:rsid w:val="00EC1A7F"/>
    <w:rsid w:val="00EC2E6C"/>
    <w:rsid w:val="00ED5734"/>
    <w:rsid w:val="00EE1260"/>
    <w:rsid w:val="00EF2726"/>
    <w:rsid w:val="00F05F7E"/>
    <w:rsid w:val="00F10D5A"/>
    <w:rsid w:val="00F241C5"/>
    <w:rsid w:val="00F257B9"/>
    <w:rsid w:val="00F358FB"/>
    <w:rsid w:val="00F4162A"/>
    <w:rsid w:val="00F418AD"/>
    <w:rsid w:val="00F61B9C"/>
    <w:rsid w:val="00F67B53"/>
    <w:rsid w:val="00F86F3A"/>
    <w:rsid w:val="00F93FA8"/>
    <w:rsid w:val="00FA34C2"/>
    <w:rsid w:val="00FB2E57"/>
    <w:rsid w:val="00FB55C6"/>
    <w:rsid w:val="00FC3C84"/>
    <w:rsid w:val="00FD0D92"/>
    <w:rsid w:val="00FD35F3"/>
    <w:rsid w:val="00FD41A0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72DC4"/>
  <w15:docId w15:val="{D7A0DC92-1194-4038-BE57-124291DB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6C"/>
  </w:style>
  <w:style w:type="paragraph" w:styleId="Footer">
    <w:name w:val="footer"/>
    <w:basedOn w:val="Normal"/>
    <w:link w:val="Foot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6C"/>
  </w:style>
  <w:style w:type="paragraph" w:styleId="Caption">
    <w:name w:val="caption"/>
    <w:basedOn w:val="Normal"/>
    <w:next w:val="Normal"/>
    <w:uiPriority w:val="35"/>
    <w:unhideWhenUsed/>
    <w:qFormat/>
    <w:rsid w:val="008317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F5469"/>
  </w:style>
  <w:style w:type="paragraph" w:styleId="Title">
    <w:name w:val="Title"/>
    <w:basedOn w:val="Normal"/>
    <w:next w:val="Normal"/>
    <w:link w:val="TitleChar"/>
    <w:uiPriority w:val="10"/>
    <w:qFormat/>
    <w:rsid w:val="00CF5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F54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54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54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1D4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5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0A48EE"/>
    <w:pPr>
      <w:spacing w:after="0"/>
    </w:pPr>
  </w:style>
  <w:style w:type="table" w:styleId="TableGrid">
    <w:name w:val="Table Grid"/>
    <w:basedOn w:val="TableNormal"/>
    <w:uiPriority w:val="39"/>
    <w:rsid w:val="0024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548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4872"/>
    <w:rPr>
      <w:rFonts w:ascii="Arial" w:eastAsia="Arial" w:hAnsi="Arial" w:cs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rmiteduau-my.sharepoint.com/personal/s3991481_student_rmit_edu_au/Documents/Intro%20%20to%20statistical%20computing/Assignment%201/Househol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rmiteduau-my.sharepoint.com/personal/s3991481_student_rmit_edu_au/Documents/Intro%20%20to%20statistical%20computing/Assignment%201/Househol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rmiteduau-my.sharepoint.com/personal/s3991481_student_rmit_edu_au/Documents/Intro%20%20to%20statistical%20computing/Assignment%201/Household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[Households.xlsx]Q4!PivotTable7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household Income between</a:t>
            </a:r>
            <a:r>
              <a:rPr lang="en-GB" baseline="0"/>
              <a:t> 2012 and 2020 for the Sub-regions in Victoria</a:t>
            </a:r>
            <a:r>
              <a:rPr lang="en-GB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'Q4'!$B$3:$B$4</c:f>
              <c:strCache>
                <c:ptCount val="1"/>
                <c:pt idx="0">
                  <c:v>MELB - Inner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'Q4'!$A$5:$A$13</c:f>
              <c:strCache>
                <c:ptCount val="8"/>
                <c:pt idx="0">
                  <c:v>2012-13</c:v>
                </c:pt>
                <c:pt idx="1">
                  <c:v>2013-14</c:v>
                </c:pt>
                <c:pt idx="2">
                  <c:v>2014-15</c:v>
                </c:pt>
                <c:pt idx="3">
                  <c:v>2015-16</c:v>
                </c:pt>
                <c:pt idx="4">
                  <c:v>2016-17</c:v>
                </c:pt>
                <c:pt idx="5">
                  <c:v>2017-18</c:v>
                </c:pt>
                <c:pt idx="6">
                  <c:v>2018-19</c:v>
                </c:pt>
                <c:pt idx="7">
                  <c:v>2019-20</c:v>
                </c:pt>
              </c:strCache>
            </c:strRef>
          </c:cat>
          <c:val>
            <c:numRef>
              <c:f>'Q4'!$B$5:$B$13</c:f>
              <c:numCache>
                <c:formatCode>0.00</c:formatCode>
                <c:ptCount val="8"/>
                <c:pt idx="0">
                  <c:v>2210.5392156862745</c:v>
                </c:pt>
                <c:pt idx="1">
                  <c:v>2223.4429065743943</c:v>
                </c:pt>
                <c:pt idx="2">
                  <c:v>2082.7095808383233</c:v>
                </c:pt>
                <c:pt idx="3">
                  <c:v>2067.1130952380954</c:v>
                </c:pt>
                <c:pt idx="4">
                  <c:v>2184.4405144694533</c:v>
                </c:pt>
                <c:pt idx="5">
                  <c:v>2307.5239852398522</c:v>
                </c:pt>
                <c:pt idx="6">
                  <c:v>2408.0737704918033</c:v>
                </c:pt>
                <c:pt idx="7">
                  <c:v>2551.3333333333335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66-E24B-A691-BC2543FD25EE}"/>
            </c:ext>
          </c:extLst>
        </c:ser>
        <c:ser>
          <c:idx val="1"/>
          <c:order val="1"/>
          <c:tx>
            <c:strRef>
              <c:f>'Q4'!$C$3:$C$4</c:f>
              <c:strCache>
                <c:ptCount val="1"/>
                <c:pt idx="0">
                  <c:v>MELB - Middle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'Q4'!$A$5:$A$13</c:f>
              <c:strCache>
                <c:ptCount val="8"/>
                <c:pt idx="0">
                  <c:v>2012-13</c:v>
                </c:pt>
                <c:pt idx="1">
                  <c:v>2013-14</c:v>
                </c:pt>
                <c:pt idx="2">
                  <c:v>2014-15</c:v>
                </c:pt>
                <c:pt idx="3">
                  <c:v>2015-16</c:v>
                </c:pt>
                <c:pt idx="4">
                  <c:v>2016-17</c:v>
                </c:pt>
                <c:pt idx="5">
                  <c:v>2017-18</c:v>
                </c:pt>
                <c:pt idx="6">
                  <c:v>2018-19</c:v>
                </c:pt>
                <c:pt idx="7">
                  <c:v>2019-20</c:v>
                </c:pt>
              </c:strCache>
            </c:strRef>
          </c:cat>
          <c:val>
            <c:numRef>
              <c:f>'Q4'!$C$5:$C$13</c:f>
              <c:numCache>
                <c:formatCode>0.00</c:formatCode>
                <c:ptCount val="8"/>
                <c:pt idx="0">
                  <c:v>1854.1719948849104</c:v>
                </c:pt>
                <c:pt idx="1">
                  <c:v>1843.6116700201208</c:v>
                </c:pt>
                <c:pt idx="2">
                  <c:v>1866.9806517311608</c:v>
                </c:pt>
                <c:pt idx="3">
                  <c:v>1955.3870292887029</c:v>
                </c:pt>
                <c:pt idx="4">
                  <c:v>1891.4466378778532</c:v>
                </c:pt>
                <c:pt idx="5">
                  <c:v>1978.7660300136426</c:v>
                </c:pt>
                <c:pt idx="6">
                  <c:v>2038.2852713178295</c:v>
                </c:pt>
                <c:pt idx="7">
                  <c:v>2196.8587105624142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66-E24B-A691-BC2543FD25EE}"/>
            </c:ext>
          </c:extLst>
        </c:ser>
        <c:ser>
          <c:idx val="2"/>
          <c:order val="2"/>
          <c:tx>
            <c:strRef>
              <c:f>'Q4'!$D$3:$D$4</c:f>
              <c:strCache>
                <c:ptCount val="1"/>
                <c:pt idx="0">
                  <c:v>MELB - Outer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'Q4'!$A$5:$A$13</c:f>
              <c:strCache>
                <c:ptCount val="8"/>
                <c:pt idx="0">
                  <c:v>2012-13</c:v>
                </c:pt>
                <c:pt idx="1">
                  <c:v>2013-14</c:v>
                </c:pt>
                <c:pt idx="2">
                  <c:v>2014-15</c:v>
                </c:pt>
                <c:pt idx="3">
                  <c:v>2015-16</c:v>
                </c:pt>
                <c:pt idx="4">
                  <c:v>2016-17</c:v>
                </c:pt>
                <c:pt idx="5">
                  <c:v>2017-18</c:v>
                </c:pt>
                <c:pt idx="6">
                  <c:v>2018-19</c:v>
                </c:pt>
                <c:pt idx="7">
                  <c:v>2019-20</c:v>
                </c:pt>
              </c:strCache>
            </c:strRef>
          </c:cat>
          <c:val>
            <c:numRef>
              <c:f>'Q4'!$D$5:$D$13</c:f>
              <c:numCache>
                <c:formatCode>0.00</c:formatCode>
                <c:ptCount val="8"/>
                <c:pt idx="0">
                  <c:v>1621.4198286413709</c:v>
                </c:pt>
                <c:pt idx="1">
                  <c:v>1686.0389610389611</c:v>
                </c:pt>
                <c:pt idx="2">
                  <c:v>1739.187790998448</c:v>
                </c:pt>
                <c:pt idx="3">
                  <c:v>1732.8501795792715</c:v>
                </c:pt>
                <c:pt idx="4">
                  <c:v>1717.9647398843931</c:v>
                </c:pt>
                <c:pt idx="5">
                  <c:v>1771.5611995104039</c:v>
                </c:pt>
                <c:pt idx="6">
                  <c:v>1714.8087572440438</c:v>
                </c:pt>
                <c:pt idx="7">
                  <c:v>1931.7511961722489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66-E24B-A691-BC2543FD25EE}"/>
            </c:ext>
          </c:extLst>
        </c:ser>
        <c:ser>
          <c:idx val="3"/>
          <c:order val="3"/>
          <c:tx>
            <c:strRef>
              <c:f>'Q4'!$E$3:$E$4</c:f>
              <c:strCache>
                <c:ptCount val="1"/>
                <c:pt idx="0">
                  <c:v>Geelong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'Q4'!$A$5:$A$13</c:f>
              <c:strCache>
                <c:ptCount val="8"/>
                <c:pt idx="0">
                  <c:v>2012-13</c:v>
                </c:pt>
                <c:pt idx="1">
                  <c:v>2013-14</c:v>
                </c:pt>
                <c:pt idx="2">
                  <c:v>2014-15</c:v>
                </c:pt>
                <c:pt idx="3">
                  <c:v>2015-16</c:v>
                </c:pt>
                <c:pt idx="4">
                  <c:v>2016-17</c:v>
                </c:pt>
                <c:pt idx="5">
                  <c:v>2017-18</c:v>
                </c:pt>
                <c:pt idx="6">
                  <c:v>2018-19</c:v>
                </c:pt>
                <c:pt idx="7">
                  <c:v>2019-20</c:v>
                </c:pt>
              </c:strCache>
            </c:strRef>
          </c:cat>
          <c:val>
            <c:numRef>
              <c:f>'Q4'!$E$5:$E$13</c:f>
              <c:numCache>
                <c:formatCode>0.00</c:formatCode>
                <c:ptCount val="8"/>
                <c:pt idx="0">
                  <c:v>1340.0655021834061</c:v>
                </c:pt>
                <c:pt idx="1">
                  <c:v>1560.6981981981983</c:v>
                </c:pt>
                <c:pt idx="2">
                  <c:v>1289.6516393442623</c:v>
                </c:pt>
                <c:pt idx="3">
                  <c:v>1458.3333333333333</c:v>
                </c:pt>
                <c:pt idx="4">
                  <c:v>1556.427027027027</c:v>
                </c:pt>
                <c:pt idx="5">
                  <c:v>1518.5952380952381</c:v>
                </c:pt>
                <c:pt idx="6">
                  <c:v>1669.2222222222222</c:v>
                </c:pt>
                <c:pt idx="7">
                  <c:v>1623.25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66-E24B-A691-BC2543FD2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4191168"/>
        <c:axId val="1733755344"/>
      </c:lineChart>
      <c:catAx>
        <c:axId val="173419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3755344"/>
        <c:crosses val="autoZero"/>
        <c:auto val="1"/>
        <c:lblAlgn val="ctr"/>
        <c:lblOffset val="100"/>
        <c:noMultiLvlLbl val="0"/>
      </c:catAx>
      <c:valAx>
        <c:axId val="173375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</a:t>
                </a:r>
                <a:r>
                  <a:rPr lang="en-GB" baseline="0"/>
                  <a:t> </a:t>
                </a:r>
              </a:p>
              <a:p>
                <a:pPr>
                  <a:defRPr/>
                </a:pPr>
                <a:r>
                  <a:rPr lang="en-GB"/>
                  <a:t>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19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[Households.xlsx]Q5!PivotTable10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Weekday Vs Weekend travels in different sub regions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'Q5'!$B$24:$B$25</c:f>
              <c:strCache>
                <c:ptCount val="1"/>
                <c:pt idx="0">
                  <c:v>Geelong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'Q5'!$A$26:$A$28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'Q5'!$B$26:$B$28</c:f>
              <c:numCache>
                <c:formatCode>0.00%</c:formatCode>
                <c:ptCount val="2"/>
                <c:pt idx="0">
                  <c:v>0.74836406900654373</c:v>
                </c:pt>
                <c:pt idx="1">
                  <c:v>0.25163593099345627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0E-9D41-BEB9-ADBBC640B955}"/>
            </c:ext>
          </c:extLst>
        </c:ser>
        <c:ser>
          <c:idx val="1"/>
          <c:order val="1"/>
          <c:tx>
            <c:strRef>
              <c:f>'Q5'!$C$24:$C$25</c:f>
              <c:strCache>
                <c:ptCount val="1"/>
                <c:pt idx="0">
                  <c:v>MELB - Inner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'Q5'!$A$26:$A$28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'Q5'!$C$26:$C$28</c:f>
              <c:numCache>
                <c:formatCode>0.00%</c:formatCode>
                <c:ptCount val="2"/>
                <c:pt idx="0">
                  <c:v>0.75076653526062198</c:v>
                </c:pt>
                <c:pt idx="1">
                  <c:v>0.24923346473937802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0E-9D41-BEB9-ADBBC640B955}"/>
            </c:ext>
          </c:extLst>
        </c:ser>
        <c:ser>
          <c:idx val="2"/>
          <c:order val="2"/>
          <c:tx>
            <c:strRef>
              <c:f>'Q5'!$D$24:$D$25</c:f>
              <c:strCache>
                <c:ptCount val="1"/>
                <c:pt idx="0">
                  <c:v>MELB - Middle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'Q5'!$A$26:$A$28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'Q5'!$D$26:$D$28</c:f>
              <c:numCache>
                <c:formatCode>0.00%</c:formatCode>
                <c:ptCount val="2"/>
                <c:pt idx="0">
                  <c:v>0.73849917146689814</c:v>
                </c:pt>
                <c:pt idx="1">
                  <c:v>0.26150082853310186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0E-9D41-BEB9-ADBBC640B955}"/>
            </c:ext>
          </c:extLst>
        </c:ser>
        <c:ser>
          <c:idx val="3"/>
          <c:order val="3"/>
          <c:tx>
            <c:strRef>
              <c:f>'Q5'!$E$24:$E$25</c:f>
              <c:strCache>
                <c:ptCount val="1"/>
                <c:pt idx="0">
                  <c:v>MELB - Outer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'Q5'!$A$26:$A$28</c:f>
              <c:strCache>
                <c:ptCount val="2"/>
                <c:pt idx="0">
                  <c:v>Weekday</c:v>
                </c:pt>
                <c:pt idx="1">
                  <c:v>Weekend</c:v>
                </c:pt>
              </c:strCache>
            </c:strRef>
          </c:cat>
          <c:val>
            <c:numRef>
              <c:f>'Q5'!$E$26:$E$28</c:f>
              <c:numCache>
                <c:formatCode>0.00%</c:formatCode>
                <c:ptCount val="2"/>
                <c:pt idx="0">
                  <c:v>0.7405222009145892</c:v>
                </c:pt>
                <c:pt idx="1">
                  <c:v>0.25947779908541085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0E-9D41-BEB9-ADBBC640B95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665896992"/>
        <c:axId val="1665480752"/>
      </c:barChart>
      <c:catAx>
        <c:axId val="16658969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480752"/>
        <c:crosses val="autoZero"/>
        <c:auto val="1"/>
        <c:lblAlgn val="ctr"/>
        <c:lblOffset val="100"/>
        <c:noMultiLvlLbl val="0"/>
      </c:catAx>
      <c:valAx>
        <c:axId val="1665480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 of Households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89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[Households.xlsx]Q5!PivotTable14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Comparison between</a:t>
            </a:r>
            <a:r>
              <a:rPr lang="en-GB" baseline="0"/>
              <a:t> Average household Income and Dwelling Ownership Status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'Q5'!$B$58:$B$59</c:f>
              <c:strCache>
                <c:ptCount val="1"/>
                <c:pt idx="0">
                  <c:v>Being Purchased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'Q5'!$A$60:$A$65</c:f>
              <c:strCache>
                <c:ptCount val="5"/>
                <c:pt idx="0">
                  <c:v>Flat or Apartment</c:v>
                </c:pt>
                <c:pt idx="1">
                  <c:v>Missing</c:v>
                </c:pt>
                <c:pt idx="2">
                  <c:v>Other</c:v>
                </c:pt>
                <c:pt idx="3">
                  <c:v>Separate House</c:v>
                </c:pt>
                <c:pt idx="4">
                  <c:v>Terrace/Townhouse</c:v>
                </c:pt>
              </c:strCache>
            </c:strRef>
          </c:cat>
          <c:val>
            <c:numRef>
              <c:f>'Q5'!$B$60:$B$65</c:f>
              <c:numCache>
                <c:formatCode>0.00</c:formatCode>
                <c:ptCount val="5"/>
                <c:pt idx="0">
                  <c:v>1941.906432748538</c:v>
                </c:pt>
                <c:pt idx="1">
                  <c:v>783.16666666666663</c:v>
                </c:pt>
                <c:pt idx="2">
                  <c:v>1823.3025477707006</c:v>
                </c:pt>
                <c:pt idx="3">
                  <c:v>2352.80116807268</c:v>
                </c:pt>
                <c:pt idx="4">
                  <c:v>2397.0103448275863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89-A348-BD89-A827003DFA13}"/>
            </c:ext>
          </c:extLst>
        </c:ser>
        <c:ser>
          <c:idx val="1"/>
          <c:order val="1"/>
          <c:tx>
            <c:strRef>
              <c:f>'Q5'!$C$58:$C$59</c:f>
              <c:strCache>
                <c:ptCount val="1"/>
                <c:pt idx="0">
                  <c:v>Being Rented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'Q5'!$A$60:$A$65</c:f>
              <c:strCache>
                <c:ptCount val="5"/>
                <c:pt idx="0">
                  <c:v>Flat or Apartment</c:v>
                </c:pt>
                <c:pt idx="1">
                  <c:v>Missing</c:v>
                </c:pt>
                <c:pt idx="2">
                  <c:v>Other</c:v>
                </c:pt>
                <c:pt idx="3">
                  <c:v>Separate House</c:v>
                </c:pt>
                <c:pt idx="4">
                  <c:v>Terrace/Townhouse</c:v>
                </c:pt>
              </c:strCache>
            </c:strRef>
          </c:cat>
          <c:val>
            <c:numRef>
              <c:f>'Q5'!$C$60:$C$65</c:f>
              <c:numCache>
                <c:formatCode>0.00</c:formatCode>
                <c:ptCount val="5"/>
                <c:pt idx="0">
                  <c:v>1403.0350253807107</c:v>
                </c:pt>
                <c:pt idx="1">
                  <c:v>858.16666666666663</c:v>
                </c:pt>
                <c:pt idx="2">
                  <c:v>1319.0214876033058</c:v>
                </c:pt>
                <c:pt idx="3">
                  <c:v>1733.034995354599</c:v>
                </c:pt>
                <c:pt idx="4">
                  <c:v>1971.4936461388074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89-A348-BD89-A827003DFA13}"/>
            </c:ext>
          </c:extLst>
        </c:ser>
        <c:ser>
          <c:idx val="2"/>
          <c:order val="2"/>
          <c:tx>
            <c:strRef>
              <c:f>'Q5'!$D$58:$D$59</c:f>
              <c:strCache>
                <c:ptCount val="1"/>
                <c:pt idx="0">
                  <c:v>Fully Owned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'Q5'!$A$60:$A$65</c:f>
              <c:strCache>
                <c:ptCount val="5"/>
                <c:pt idx="0">
                  <c:v>Flat or Apartment</c:v>
                </c:pt>
                <c:pt idx="1">
                  <c:v>Missing</c:v>
                </c:pt>
                <c:pt idx="2">
                  <c:v>Other</c:v>
                </c:pt>
                <c:pt idx="3">
                  <c:v>Separate House</c:v>
                </c:pt>
                <c:pt idx="4">
                  <c:v>Terrace/Townhouse</c:v>
                </c:pt>
              </c:strCache>
            </c:strRef>
          </c:cat>
          <c:val>
            <c:numRef>
              <c:f>'Q5'!$D$60:$D$65</c:f>
              <c:numCache>
                <c:formatCode>0.00</c:formatCode>
                <c:ptCount val="5"/>
                <c:pt idx="0">
                  <c:v>1274.8801843317972</c:v>
                </c:pt>
                <c:pt idx="1">
                  <c:v>1488.6363636363637</c:v>
                </c:pt>
                <c:pt idx="2">
                  <c:v>909.70628183361634</c:v>
                </c:pt>
                <c:pt idx="3">
                  <c:v>1655.8372541066722</c:v>
                </c:pt>
                <c:pt idx="4">
                  <c:v>1577.3894628099174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89-A348-BD89-A827003DFA13}"/>
            </c:ext>
          </c:extLst>
        </c:ser>
        <c:ser>
          <c:idx val="3"/>
          <c:order val="3"/>
          <c:tx>
            <c:strRef>
              <c:f>'Q5'!$E$58:$E$59</c:f>
              <c:strCache>
                <c:ptCount val="1"/>
                <c:pt idx="0">
                  <c:v>Occupied Rent-Free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'Q5'!$A$60:$A$65</c:f>
              <c:strCache>
                <c:ptCount val="5"/>
                <c:pt idx="0">
                  <c:v>Flat or Apartment</c:v>
                </c:pt>
                <c:pt idx="1">
                  <c:v>Missing</c:v>
                </c:pt>
                <c:pt idx="2">
                  <c:v>Other</c:v>
                </c:pt>
                <c:pt idx="3">
                  <c:v>Separate House</c:v>
                </c:pt>
                <c:pt idx="4">
                  <c:v>Terrace/Townhouse</c:v>
                </c:pt>
              </c:strCache>
            </c:strRef>
          </c:cat>
          <c:val>
            <c:numRef>
              <c:f>'Q5'!$E$60:$E$65</c:f>
              <c:numCache>
                <c:formatCode>0.00</c:formatCode>
                <c:ptCount val="5"/>
                <c:pt idx="0">
                  <c:v>1608.8709677419354</c:v>
                </c:pt>
                <c:pt idx="1">
                  <c:v>175</c:v>
                </c:pt>
                <c:pt idx="2">
                  <c:v>1414.7058823529412</c:v>
                </c:pt>
                <c:pt idx="3">
                  <c:v>1550.814606741573</c:v>
                </c:pt>
                <c:pt idx="4">
                  <c:v>1918.7142857142858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89-A348-BD89-A827003DFA13}"/>
            </c:ext>
          </c:extLst>
        </c:ser>
        <c:ser>
          <c:idx val="4"/>
          <c:order val="4"/>
          <c:tx>
            <c:strRef>
              <c:f>'Q5'!$F$58:$F$59</c:f>
              <c:strCache>
                <c:ptCount val="1"/>
                <c:pt idx="0">
                  <c:v>Something Else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'Q5'!$A$60:$A$65</c:f>
              <c:strCache>
                <c:ptCount val="5"/>
                <c:pt idx="0">
                  <c:v>Flat or Apartment</c:v>
                </c:pt>
                <c:pt idx="1">
                  <c:v>Missing</c:v>
                </c:pt>
                <c:pt idx="2">
                  <c:v>Other</c:v>
                </c:pt>
                <c:pt idx="3">
                  <c:v>Separate House</c:v>
                </c:pt>
                <c:pt idx="4">
                  <c:v>Terrace/Townhouse</c:v>
                </c:pt>
              </c:strCache>
            </c:strRef>
          </c:cat>
          <c:val>
            <c:numRef>
              <c:f>'Q5'!$F$60:$F$65</c:f>
              <c:numCache>
                <c:formatCode>General</c:formatCode>
                <c:ptCount val="5"/>
                <c:pt idx="0" formatCode="0.00">
                  <c:v>708.92857142857144</c:v>
                </c:pt>
                <c:pt idx="2" formatCode="0.00">
                  <c:v>571</c:v>
                </c:pt>
                <c:pt idx="3" formatCode="0.00">
                  <c:v>1370.4117647058824</c:v>
                </c:pt>
                <c:pt idx="4" formatCode="0.00">
                  <c:v>1012.5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89-A348-BD89-A827003DFA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745058688"/>
        <c:axId val="1773393600"/>
      </c:barChart>
      <c:catAx>
        <c:axId val="1745058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Dwelling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393600"/>
        <c:crosses val="autoZero"/>
        <c:auto val="1"/>
        <c:lblAlgn val="ctr"/>
        <c:lblOffset val="100"/>
        <c:noMultiLvlLbl val="0"/>
      </c:catAx>
      <c:valAx>
        <c:axId val="177339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 </a:t>
                </a:r>
              </a:p>
              <a:p>
                <a:pPr>
                  <a:defRPr/>
                </a:pPr>
                <a:r>
                  <a:rPr lang="en-GB"/>
                  <a:t>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05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C295281203A4BBA68E5077EE52BDA" ma:contentTypeVersion="38" ma:contentTypeDescription="Create a new document." ma:contentTypeScope="" ma:versionID="79a77ddc98ce98baaa9c8aa8ee21816c">
  <xsd:schema xmlns:xsd="http://www.w3.org/2001/XMLSchema" xmlns:xs="http://www.w3.org/2001/XMLSchema" xmlns:p="http://schemas.microsoft.com/office/2006/metadata/properties" xmlns:ns3="63418b2d-c30a-48ce-9a71-5cf6c7b84f52" xmlns:ns4="ee434b1d-4eca-46a6-a904-8dc8e8b253ad" targetNamespace="http://schemas.microsoft.com/office/2006/metadata/properties" ma:root="true" ma:fieldsID="cca1b8a119d61a0a6e04d595cbfe85bd" ns3:_="" ns4:_="">
    <xsd:import namespace="63418b2d-c30a-48ce-9a71-5cf6c7b84f52"/>
    <xsd:import namespace="ee434b1d-4eca-46a6-a904-8dc8e8b253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Leaders" minOccurs="0"/>
                <xsd:element ref="ns3:Members" minOccurs="0"/>
                <xsd:element ref="ns3:Member_Groups" minOccurs="0"/>
                <xsd:element ref="ns3:Distribution_Groups" minOccurs="0"/>
                <xsd:element ref="ns3:LMS_Mapping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18b2d-c30a-48ce-9a71-5cf6c7b84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0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4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34b1d-4eca-46a6-a904-8dc8e8b253ad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63418b2d-c30a-48ce-9a71-5cf6c7b84f52" xsi:nil="true"/>
    <Has_Teacher_Only_SectionGroup xmlns="63418b2d-c30a-48ce-9a71-5cf6c7b84f52" xsi:nil="true"/>
    <Members xmlns="63418b2d-c30a-48ce-9a71-5cf6c7b84f52">
      <UserInfo>
        <DisplayName/>
        <AccountId xsi:nil="true"/>
        <AccountType/>
      </UserInfo>
    </Members>
    <Member_Groups xmlns="63418b2d-c30a-48ce-9a71-5cf6c7b84f52">
      <UserInfo>
        <DisplayName/>
        <AccountId xsi:nil="true"/>
        <AccountType/>
      </UserInfo>
    </Member_Groups>
    <Invited_Students xmlns="63418b2d-c30a-48ce-9a71-5cf6c7b84f52" xsi:nil="true"/>
    <TeamsChannelId xmlns="63418b2d-c30a-48ce-9a71-5cf6c7b84f52" xsi:nil="true"/>
    <Invited_Leaders xmlns="63418b2d-c30a-48ce-9a71-5cf6c7b84f52" xsi:nil="true"/>
    <DefaultSectionNames xmlns="63418b2d-c30a-48ce-9a71-5cf6c7b84f52" xsi:nil="true"/>
    <Invited_Members xmlns="63418b2d-c30a-48ce-9a71-5cf6c7b84f52" xsi:nil="true"/>
    <Self_Registration_Enabled xmlns="63418b2d-c30a-48ce-9a71-5cf6c7b84f52" xsi:nil="true"/>
    <Leaders xmlns="63418b2d-c30a-48ce-9a71-5cf6c7b84f52">
      <UserInfo>
        <DisplayName/>
        <AccountId xsi:nil="true"/>
        <AccountType/>
      </UserInfo>
    </Leaders>
    <Distribution_Groups xmlns="63418b2d-c30a-48ce-9a71-5cf6c7b84f52" xsi:nil="true"/>
    <Is_Collaboration_Space_Locked xmlns="63418b2d-c30a-48ce-9a71-5cf6c7b84f52" xsi:nil="true"/>
    <CultureName xmlns="63418b2d-c30a-48ce-9a71-5cf6c7b84f52" xsi:nil="true"/>
    <Invited_Teachers xmlns="63418b2d-c30a-48ce-9a71-5cf6c7b84f52" xsi:nil="true"/>
    <LMS_Mappings xmlns="63418b2d-c30a-48ce-9a71-5cf6c7b84f52" xsi:nil="true"/>
    <NotebookType xmlns="63418b2d-c30a-48ce-9a71-5cf6c7b84f52" xsi:nil="true"/>
    <FolderType xmlns="63418b2d-c30a-48ce-9a71-5cf6c7b84f52" xsi:nil="true"/>
    <Teachers xmlns="63418b2d-c30a-48ce-9a71-5cf6c7b84f52">
      <UserInfo>
        <DisplayName/>
        <AccountId xsi:nil="true"/>
        <AccountType/>
      </UserInfo>
    </Teachers>
    <Students xmlns="63418b2d-c30a-48ce-9a71-5cf6c7b84f52">
      <UserInfo>
        <DisplayName/>
        <AccountId xsi:nil="true"/>
        <AccountType/>
      </UserInfo>
    </Students>
    <Student_Groups xmlns="63418b2d-c30a-48ce-9a71-5cf6c7b84f52">
      <UserInfo>
        <DisplayName/>
        <AccountId xsi:nil="true"/>
        <AccountType/>
      </UserInfo>
    </Student_Groups>
    <AppVersion xmlns="63418b2d-c30a-48ce-9a71-5cf6c7b84f52" xsi:nil="true"/>
    <Math_Settings xmlns="63418b2d-c30a-48ce-9a71-5cf6c7b84f52" xsi:nil="true"/>
    <Has_Leaders_Only_SectionGroup xmlns="63418b2d-c30a-48ce-9a71-5cf6c7b84f52" xsi:nil="true"/>
    <Owner xmlns="63418b2d-c30a-48ce-9a71-5cf6c7b84f52">
      <UserInfo>
        <DisplayName/>
        <AccountId xsi:nil="true"/>
        <AccountType/>
      </UserInfo>
    </Owner>
    <IsNotebookLocked xmlns="63418b2d-c30a-48ce-9a71-5cf6c7b84f5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Aut</b:Tag>
    <b:SourceType>JournalArticle</b:SourceType>
    <b:Guid>{CEDAA374-5413-4ED9-90E7-C8DD03595560}</b:Guid>
    <b:Author>
      <b:Author>
        <b:NameList>
          <b:Person>
            <b:Last>Author</b:Last>
          </b:Person>
        </b:NameList>
      </b:Author>
    </b:Author>
    <b:Title>The title of the scientific article that you have cited</b:Title>
    <b:JournalName>Journal of Science</b:JournalName>
    <b:Year>1998</b:Year>
    <b:Pages>88-93</b:Pages>
    <b:RefOrder>1</b:RefOrder>
  </b:Source>
  <b:Source>
    <b:Tag>Vic07</b:Tag>
    <b:SourceType>DocumentFromInternetSite</b:SourceType>
    <b:Guid>{FB9E8548-8176-7E4C-836C-E6C6BFE22BF3}</b:Guid>
    <b:Author>
      <b:Author>
        <b:NameList>
          <b:Person>
            <b:Last>Victoria</b:Last>
            <b:First>State</b:First>
            <b:Middle>Government of</b:Middle>
          </b:Person>
        </b:NameList>
      </b:Author>
    </b:Author>
    <b:Title>Victorian Integrated Survey of Travel and Activity (VISTA)</b:Title>
    <b:URL>https://discover.data.vic.gov.au/dataset/victorian-integrated-survey-of-travel-and-activity</b:URL>
    <b:Year>2007</b:Year>
    <b:Month>01</b:Month>
    <b:Day>5</b:Day>
    <b:YearAccessed>2023</b:YearAccessed>
    <b:MonthAccessed>Aug</b:MonthAccessed>
    <b:DayAccessed>20</b:DayAccessed>
    <b:InternetSiteTitle>Data VIC</b:InternetSiteTitle>
    <b:RefOrder>2</b:RefOrder>
  </b:Source>
</b:Sources>
</file>

<file path=customXml/itemProps1.xml><?xml version="1.0" encoding="utf-8"?>
<ds:datastoreItem xmlns:ds="http://schemas.openxmlformats.org/officeDocument/2006/customXml" ds:itemID="{171B301B-F201-45B2-B08B-DC97869C8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18b2d-c30a-48ce-9a71-5cf6c7b84f52"/>
    <ds:schemaRef ds:uri="ee434b1d-4eca-46a6-a904-8dc8e8b253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77CA51-8AB0-401B-A3D6-16D5EAAD4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52D99-FBD0-484B-A6ED-E62AD1552B6A}">
  <ds:schemaRefs>
    <ds:schemaRef ds:uri="http://schemas.microsoft.com/office/2006/metadata/properties"/>
    <ds:schemaRef ds:uri="http://schemas.microsoft.com/office/infopath/2007/PartnerControls"/>
    <ds:schemaRef ds:uri="63418b2d-c30a-48ce-9a71-5cf6c7b84f52"/>
  </ds:schemaRefs>
</ds:datastoreItem>
</file>

<file path=customXml/itemProps4.xml><?xml version="1.0" encoding="utf-8"?>
<ds:datastoreItem xmlns:ds="http://schemas.openxmlformats.org/officeDocument/2006/customXml" ds:itemID="{F906FAA9-A2C0-6644-8EE7-04BAB902D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>v1.1</cp:keywords>
  <dc:description/>
  <cp:lastModifiedBy>Deepthi Suresh</cp:lastModifiedBy>
  <cp:revision>249</cp:revision>
  <dcterms:created xsi:type="dcterms:W3CDTF">2021-02-15T04:50:00Z</dcterms:created>
  <dcterms:modified xsi:type="dcterms:W3CDTF">2024-02-25T04:09:00Z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0x010100CA8C295281203A4BBA68E5077EE52BDA</vt:lpwstr>
  </property>
  <property fmtid="{D5CDD505-2E9C-101B-9397-08002B2CF9AE}" pid="3" name="MSIP_Label_1b52b3a1-dbcb-41fb-a452-370cf542753f_Enabled">
    <vt:lpwstr>true</vt:lpwstr>
  </property>
  <property fmtid="{D5CDD505-2E9C-101B-9397-08002B2CF9AE}" pid="4" name="MSIP_Label_1b52b3a1-dbcb-41fb-a452-370cf542753f_SetDate">
    <vt:lpwstr>2021-02-15T04:50:43Z</vt:lpwstr>
  </property>
  <property fmtid="{D5CDD505-2E9C-101B-9397-08002B2CF9AE}" pid="5" name="MSIP_Label_1b52b3a1-dbcb-41fb-a452-370cf542753f_Method">
    <vt:lpwstr>Privileged</vt:lpwstr>
  </property>
  <property fmtid="{D5CDD505-2E9C-101B-9397-08002B2CF9AE}" pid="6" name="MSIP_Label_1b52b3a1-dbcb-41fb-a452-370cf542753f_Name">
    <vt:lpwstr>Public</vt:lpwstr>
  </property>
  <property fmtid="{D5CDD505-2E9C-101B-9397-08002B2CF9AE}" pid="7" name="MSIP_Label_1b52b3a1-dbcb-41fb-a452-370cf542753f_SiteId">
    <vt:lpwstr>d1323671-cdbe-4417-b4d4-bdb24b51316b</vt:lpwstr>
  </property>
  <property fmtid="{D5CDD505-2E9C-101B-9397-08002B2CF9AE}" pid="8" name="MSIP_Label_1b52b3a1-dbcb-41fb-a452-370cf542753f_ActionId">
    <vt:lpwstr>e8d9c6b5-28e8-4dbc-a34e-f76dd216c572</vt:lpwstr>
  </property>
  <property fmtid="{D5CDD505-2E9C-101B-9397-08002B2CF9AE}" pid="9" name="MSIP_Label_1b52b3a1-dbcb-41fb-a452-370cf542753f_ContentBits">
    <vt:lpwstr>0</vt:lpwstr>
  </property>
</Properties>
</file>