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C7414"/>
          <w:spacing w:val="60"/>
          <w:sz w:val="18"/>
          <w:szCs w:val="18"/>
        </w:rPr>
        <w:t xml:space="preserve">AGENTSARCHITECTS</w:t>
      </w:r>
    </w:p>
    <w:p>
      <w:pPr>
        <w:spacing w:after="60"/>
      </w:pPr>
      <w:r>
        <w:rPr>
          <w:rFonts w:ascii="Cambria" w:cs="Cambria" w:eastAsia="Cambria" w:hAnsi="Cambria"/>
          <w:b/>
          <w:bCs/>
          <w:color w:val="1E2761"/>
          <w:sz w:val="40"/>
          <w:szCs w:val="40"/>
        </w:rPr>
        <w:t xml:space="preserve">Governed Memory Hub Prototype</w:t>
      </w:r>
    </w:p>
    <w:p>
      <w:pPr>
        <w:spacing w:after="40"/>
      </w:pPr>
      <w:r>
        <w:rPr>
          <w:rFonts w:ascii="Calibri" w:cs="Calibri" w:eastAsia="Calibri" w:hAnsi="Calibri"/>
          <w:color w:val="5A6472"/>
          <w:sz w:val="22"/>
          <w:szCs w:val="22"/>
        </w:rPr>
        <w:t xml:space="preserve">Engineering Brief  ·  Flourish Programme</w:t>
      </w:r>
    </w:p>
    <w:p>
      <w:pPr>
        <w:pBdr>
          <w:bottom w:val="single" w:color="1E2761" w:sz="12" w:space="6"/>
        </w:pBdr>
        <w:spacing w:after="180"/>
      </w:pPr>
      <w:r>
        <w:rPr>
          <w:rFonts w:ascii="Calibri" w:cs="Calibri" w:eastAsia="Calibri" w:hAnsi="Calibri"/>
          <w:i/>
          <w:iCs/>
          <w:color w:val="5A6472"/>
          <w:sz w:val="17"/>
          <w:szCs w:val="17"/>
        </w:rPr>
        <w:t xml:space="preserve">Ref AA-FLR-HUB-2026-001   ·   Prepared by Binod Kumar   ·   Confidential to the Flourish programme</w:t>
      </w:r>
    </w:p>
    <w:p>
      <w:pPr>
        <w:pBdr>
          <w:bottom w:val="single" w:color="C9D2E3" w:sz="6" w:space="4"/>
        </w:pBdr>
        <w:spacing w:after="120" w:before="280"/>
      </w:pPr>
      <w:r>
        <w:rPr>
          <w:rFonts w:ascii="Calibri" w:cs="Calibri" w:eastAsia="Calibri" w:hAnsi="Calibri"/>
          <w:b/>
          <w:bCs/>
          <w:color w:val="1E2761"/>
          <w:sz w:val="26"/>
          <w:szCs w:val="26"/>
        </w:rPr>
        <w:t xml:space="preserve">1.  Background</w:t>
      </w:r>
    </w:p>
    <w:p>
      <w:pPr>
        <w:spacing w:after="120" w:line="264"/>
      </w:pPr>
      <w:r>
        <w:rPr>
          <w:rFonts w:ascii="Calibri" w:cs="Calibri" w:eastAsia="Calibri" w:hAnsi="Calibri"/>
          <w:color w:val="1F2430"/>
          <w:sz w:val="21"/>
          <w:szCs w:val="21"/>
        </w:rPr>
        <w:t xml:space="preserve">Flourish is building an organizational Memory Hub: one governed store of approved company knowledge that agents and people retrieve from, with each department remaining the system of record. Approved knowledge passes through a governance pipeline (governance, steward approval, audit) before it becomes retrievable.</w:t>
      </w:r>
    </w:p>
    <w:p>
      <w:pPr>
        <w:spacing w:after="60" w:line="264"/>
      </w:pPr>
      <w:r>
        <w:rPr>
          <w:rFonts w:ascii="Calibri" w:cs="Calibri" w:eastAsia="Calibri" w:hAnsi="Calibri"/>
          <w:color w:val="1F2430"/>
          <w:sz w:val="21"/>
          <w:szCs w:val="21"/>
        </w:rPr>
        <w:t xml:space="preserve">This brief covers a prototype of the governed core of that hub. The prototype feeds directly into the Milestone One build, so it is scoped to be real, runnable, and reviewable, not a throwaway.</w:t>
      </w:r>
    </w:p>
    <w:p>
      <w:pPr>
        <w:pBdr>
          <w:bottom w:val="single" w:color="C9D2E3" w:sz="6" w:space="4"/>
        </w:pBdr>
        <w:spacing w:after="120" w:before="280"/>
      </w:pPr>
      <w:r>
        <w:rPr>
          <w:rFonts w:ascii="Calibri" w:cs="Calibri" w:eastAsia="Calibri" w:hAnsi="Calibri"/>
          <w:b/>
          <w:bCs/>
          <w:color w:val="1E2761"/>
          <w:sz w:val="26"/>
          <w:szCs w:val="26"/>
        </w:rPr>
        <w:t xml:space="preserve">2.  Objective</w:t>
      </w:r>
    </w:p>
    <w:p>
      <w:pPr>
        <w:spacing w:after="60" w:line="264"/>
      </w:pPr>
      <w:r>
        <w:rPr>
          <w:rFonts w:ascii="Calibri" w:cs="Calibri" w:eastAsia="Calibri" w:hAnsi="Calibri"/>
          <w:color w:val="1F2430"/>
          <w:sz w:val="21"/>
          <w:szCs w:val="21"/>
        </w:rPr>
        <w:t xml:space="preserve">Build a working slice of the governed Memory Hub that shows role-scoped retrieval, an approval tollgate, and a tamper-evident audit trail working end to end. The slice should run from a README and prove its governance guarantees with tests.</w:t>
      </w:r>
    </w:p>
    <w:p>
      <w:pPr>
        <w:pBdr>
          <w:bottom w:val="single" w:color="C9D2E3" w:sz="6" w:space="4"/>
        </w:pBdr>
        <w:spacing w:after="120" w:before="280"/>
      </w:pPr>
      <w:r>
        <w:rPr>
          <w:rFonts w:ascii="Calibri" w:cs="Calibri" w:eastAsia="Calibri" w:hAnsi="Calibri"/>
          <w:b/>
          <w:bCs/>
          <w:color w:val="1E2761"/>
          <w:sz w:val="26"/>
          <w:szCs w:val="26"/>
        </w:rPr>
        <w:t xml:space="preserve">3.  Scope of work</w:t>
      </w:r>
    </w:p>
    <w:p>
      <w:pPr>
        <w:spacing w:after="80"/>
      </w:pPr>
      <w:r>
        <w:rPr>
          <w:rFonts w:ascii="Calibri" w:cs="Calibri" w:eastAsia="Calibri" w:hAnsi="Calibri"/>
          <w:b/>
          <w:bCs/>
          <w:color w:val="1E2761"/>
          <w:sz w:val="22"/>
          <w:szCs w:val="22"/>
        </w:rPr>
        <w:t xml:space="preserve">Core requirements (must have)</w:t>
      </w:r>
    </w:p>
    <w:p>
      <w:pPr>
        <w:pStyle w:val="ListParagraph"/>
        <w:numPr>
          <w:ilvl w:val="0"/>
          <w:numId w:val="1"/>
        </w:numPr>
        <w:spacing w:after="70" w:line="258"/>
      </w:pPr>
      <w:r>
        <w:rPr>
          <w:rFonts w:ascii="Calibri" w:cs="Calibri" w:eastAsia="Calibri" w:hAnsi="Calibri"/>
          <w:b/>
          <w:bCs/>
          <w:color w:val="1F2430"/>
          <w:sz w:val="21"/>
          <w:szCs w:val="21"/>
        </w:rPr>
        <w:t xml:space="preserve">Namespaced ingest.  </w:t>
      </w:r>
      <w:r>
        <w:rPr>
          <w:rFonts w:ascii="Calibri" w:cs="Calibri" w:eastAsia="Calibri" w:hAnsi="Calibri"/>
          <w:color w:val="1F2430"/>
          <w:sz w:val="21"/>
          <w:szCs w:val="21"/>
        </w:rPr>
        <w:t xml:space="preserve">Accept knowledge items (title, body, source, domain namespace, and a role or sensitivity label) and store them with a status of pending.</w:t>
      </w:r>
    </w:p>
    <w:p>
      <w:pPr>
        <w:pStyle w:val="ListParagraph"/>
        <w:numPr>
          <w:ilvl w:val="0"/>
          <w:numId w:val="1"/>
        </w:numPr>
        <w:spacing w:after="70" w:line="258"/>
      </w:pPr>
      <w:r>
        <w:rPr>
          <w:rFonts w:ascii="Calibri" w:cs="Calibri" w:eastAsia="Calibri" w:hAnsi="Calibri"/>
          <w:b/>
          <w:bCs/>
          <w:color w:val="1F2430"/>
          <w:sz w:val="21"/>
          <w:szCs w:val="21"/>
        </w:rPr>
        <w:t xml:space="preserve">Approval tollgate.  </w:t>
      </w:r>
      <w:r>
        <w:rPr>
          <w:rFonts w:ascii="Calibri" w:cs="Calibri" w:eastAsia="Calibri" w:hAnsi="Calibri"/>
          <w:color w:val="1F2430"/>
          <w:sz w:val="21"/>
          <w:szCs w:val="21"/>
        </w:rPr>
        <w:t xml:space="preserve">A steward role moves an item from pending to approved or rejected. Only approved items are ever retrievable, and nothing skips the gate.</w:t>
      </w:r>
    </w:p>
    <w:p>
      <w:pPr>
        <w:pStyle w:val="ListParagraph"/>
        <w:numPr>
          <w:ilvl w:val="0"/>
          <w:numId w:val="1"/>
        </w:numPr>
        <w:spacing w:after="70" w:line="258"/>
      </w:pPr>
      <w:r>
        <w:rPr>
          <w:rFonts w:ascii="Calibri" w:cs="Calibri" w:eastAsia="Calibri" w:hAnsi="Calibri"/>
          <w:b/>
          <w:bCs/>
          <w:color w:val="1F2430"/>
          <w:sz w:val="21"/>
          <w:szCs w:val="21"/>
        </w:rPr>
        <w:t xml:space="preserve">Role-scoped retrieval.  </w:t>
      </w:r>
      <w:r>
        <w:rPr>
          <w:rFonts w:ascii="Calibri" w:cs="Calibri" w:eastAsia="Calibri" w:hAnsi="Calibri"/>
          <w:color w:val="1F2430"/>
          <w:sz w:val="21"/>
          <w:szCs w:val="21"/>
        </w:rPr>
        <w:t xml:space="preserve">A retrieval call carries a caller identity and role. It returns only items that are approved and cleared for that caller's role and namespace. A caller never receives anything outside their clearance, not even a title or a snippet.</w:t>
      </w:r>
    </w:p>
    <w:p>
      <w:pPr>
        <w:pStyle w:val="ListParagraph"/>
        <w:numPr>
          <w:ilvl w:val="0"/>
          <w:numId w:val="1"/>
        </w:numPr>
        <w:spacing w:after="70" w:line="258"/>
      </w:pPr>
      <w:r>
        <w:rPr>
          <w:rFonts w:ascii="Calibri" w:cs="Calibri" w:eastAsia="Calibri" w:hAnsi="Calibri"/>
          <w:b/>
          <w:bCs/>
          <w:color w:val="1F2430"/>
          <w:sz w:val="21"/>
          <w:szCs w:val="21"/>
        </w:rPr>
        <w:t xml:space="preserve">Append-only audit trail.  </w:t>
      </w:r>
      <w:r>
        <w:rPr>
          <w:rFonts w:ascii="Calibri" w:cs="Calibri" w:eastAsia="Calibri" w:hAnsi="Calibri"/>
          <w:color w:val="1F2430"/>
          <w:sz w:val="21"/>
          <w:szCs w:val="21"/>
        </w:rPr>
        <w:t xml:space="preserve">Every ingest, approval, rejection, and retrieval is recorded in an audit log that is append-only and tamper-evident (for example, each entry chained to a hash of the previous one), so any alteration or removal is detectable.</w:t>
      </w:r>
    </w:p>
    <w:p>
      <w:pPr>
        <w:pStyle w:val="ListParagraph"/>
        <w:numPr>
          <w:ilvl w:val="0"/>
          <w:numId w:val="1"/>
        </w:numPr>
        <w:spacing w:after="70" w:line="258"/>
      </w:pPr>
      <w:r>
        <w:rPr>
          <w:rFonts w:ascii="Calibri" w:cs="Calibri" w:eastAsia="Calibri" w:hAnsi="Calibri"/>
          <w:b/>
          <w:bCs/>
          <w:color w:val="1F2430"/>
          <w:sz w:val="21"/>
          <w:szCs w:val="21"/>
        </w:rPr>
        <w:t xml:space="preserve">Retrieval API.  </w:t>
      </w:r>
      <w:r>
        <w:rPr>
          <w:rFonts w:ascii="Calibri" w:cs="Calibri" w:eastAsia="Calibri" w:hAnsi="Calibri"/>
          <w:color w:val="1F2430"/>
          <w:sz w:val="21"/>
          <w:szCs w:val="21"/>
        </w:rPr>
        <w:t xml:space="preserve">A thin API (REST is fine) for ingest, steward decisions, and role-scoped retrieval. Retrieval ranks results by relevance to a query (keyword or embedding; semantic is a plus).</w:t>
      </w:r>
    </w:p>
    <w:p>
      <w:pPr>
        <w:spacing w:after="80" w:before="120"/>
      </w:pPr>
      <w:r>
        <w:rPr>
          <w:rFonts w:ascii="Calibri" w:cs="Calibri" w:eastAsia="Calibri" w:hAnsi="Calibri"/>
          <w:b/>
          <w:bCs/>
          <w:color w:val="1E2761"/>
          <w:sz w:val="22"/>
          <w:szCs w:val="22"/>
        </w:rPr>
        <w:t xml:space="preserve">Optional extensions (only if the core is solid)</w:t>
      </w:r>
    </w:p>
    <w:p>
      <w:pPr>
        <w:pStyle w:val="ListParagraph"/>
        <w:numPr>
          <w:ilvl w:val="0"/>
          <w:numId w:val="1"/>
        </w:numPr>
        <w:spacing w:after="70" w:line="258"/>
      </w:pPr>
      <w:r>
        <w:rPr>
          <w:rFonts w:ascii="Calibri" w:cs="Calibri" w:eastAsia="Calibri" w:hAnsi="Calibri"/>
          <w:color w:val="1F2430"/>
          <w:sz w:val="21"/>
          <w:szCs w:val="21"/>
        </w:rPr>
        <w:t xml:space="preserve">Vector retrieval with pgvector and an embedding model.</w:t>
      </w:r>
    </w:p>
    <w:p>
      <w:pPr>
        <w:pStyle w:val="ListParagraph"/>
        <w:numPr>
          <w:ilvl w:val="0"/>
          <w:numId w:val="1"/>
        </w:numPr>
        <w:spacing w:after="70" w:line="258"/>
      </w:pPr>
      <w:r>
        <w:rPr>
          <w:rFonts w:ascii="Calibri" w:cs="Calibri" w:eastAsia="Calibri" w:hAnsi="Calibri"/>
          <w:color w:val="1F2430"/>
          <w:sz w:val="21"/>
          <w:szCs w:val="21"/>
        </w:rPr>
        <w:t xml:space="preserve">A read-only status view: counts by status, recent decisions, recent retrievals.</w:t>
      </w:r>
    </w:p>
    <w:p>
      <w:pPr>
        <w:pStyle w:val="ListParagraph"/>
        <w:numPr>
          <w:ilvl w:val="0"/>
          <w:numId w:val="1"/>
        </w:numPr>
        <w:spacing w:after="70" w:line="258"/>
      </w:pPr>
      <w:r>
        <w:rPr>
          <w:rFonts w:ascii="Calibri" w:cs="Calibri" w:eastAsia="Calibri" w:hAnsi="Calibri"/>
          <w:color w:val="1F2430"/>
          <w:sz w:val="21"/>
          <w:szCs w:val="21"/>
        </w:rPr>
        <w:t xml:space="preserve">Redaction of low-relevance results rather than returning them.</w:t>
      </w:r>
    </w:p>
    <w:p>
      <w:pPr>
        <w:pBdr>
          <w:bottom w:val="single" w:color="C9D2E3" w:sz="6" w:space="4"/>
        </w:pBdr>
        <w:spacing w:after="120" w:before="280"/>
      </w:pPr>
      <w:r>
        <w:rPr>
          <w:rFonts w:ascii="Calibri" w:cs="Calibri" w:eastAsia="Calibri" w:hAnsi="Calibri"/>
          <w:b/>
          <w:bCs/>
          <w:color w:val="1E2761"/>
          <w:sz w:val="26"/>
          <w:szCs w:val="26"/>
        </w:rPr>
        <w:t xml:space="preserve">4.  Technical stack and constraints</w:t>
      </w:r>
    </w:p>
    <w:tbl>
      <w:tblPr>
        <w:tblW w:type="dxa" w:w="10080"/>
        <w:tblBorders>
          <w:top w:val="single" w:color="C9D2E3" w:sz="2"/>
          <w:left w:val="single" w:color="C9D2E3" w:sz="2"/>
          <w:bottom w:val="single" w:color="C9D2E3" w:sz="2"/>
          <w:right w:val="single" w:color="C9D2E3" w:sz="2"/>
          <w:insideH w:val="single" w:color="C9D2E3" w:sz="2"/>
          <w:insideV w:val="single" w:color="C9D2E3" w:sz="2"/>
        </w:tblBorders>
      </w:tblPr>
      <w:tblGrid>
        <w:gridCol w:w="3000"/>
        <w:gridCol w:w="7080"/>
      </w:tblGrid>
      <w:tr>
        <w:trPr>
          <w:tblHeader/>
        </w:trPr>
        <w:tc>
          <w:tcPr>
            <w:tcW w:type="dxa" w:w="3000"/>
            <w:shd w:fill="1E2761"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7080"/>
            <w:shd w:fill="1E2761" w:val="clear"/>
            <w:tcMar>
              <w:top w:type="dxa" w:w="70"/>
              <w:left w:type="dxa" w:w="110"/>
              <w:bottom w:type="dxa" w:w="70"/>
              <w:right w:type="dxa" w:w="110"/>
            </w:tcMar>
          </w:tcPr>
          <w:p>
            <w:r>
              <w:rPr>
                <w:rFonts w:ascii="Calibri" w:cs="Calibri" w:eastAsia="Calibri" w:hAnsi="Calibri"/>
                <w:b/>
                <w:bCs/>
                <w:color w:val="FFFFFF"/>
                <w:sz w:val="20"/>
                <w:szCs w:val="20"/>
              </w:rPr>
              <w:t xml:space="preserve">Guidance</w:t>
            </w:r>
          </w:p>
        </w:tc>
      </w:tr>
      <w:tr>
        <w:trPr>
          <w:tblHeader w:val="false"/>
        </w:trPr>
        <w:tc>
          <w:tcPr>
            <w:tcW w:type="dxa" w:w="3000"/>
            <w:shd w:fill="FFFFFF" w:val="clear"/>
            <w:tcMar>
              <w:top w:type="dxa" w:w="70"/>
              <w:left w:type="dxa" w:w="110"/>
              <w:bottom w:type="dxa" w:w="70"/>
              <w:right w:type="dxa" w:w="110"/>
            </w:tcMar>
          </w:tcPr>
          <w:p>
            <w:r>
              <w:rPr>
                <w:rFonts w:ascii="Calibri" w:cs="Calibri" w:eastAsia="Calibri" w:hAnsi="Calibri"/>
                <w:b/>
                <w:bCs/>
                <w:color w:val="1F2430"/>
                <w:sz w:val="20"/>
                <w:szCs w:val="20"/>
              </w:rPr>
              <w:t xml:space="preserve">Language and framework</w:t>
            </w:r>
          </w:p>
        </w:tc>
        <w:tc>
          <w:tcPr>
            <w:tcW w:type="dxa" w:w="7080"/>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Python with FastAPI preferred. You may substitute with a short justification in the design note.</w:t>
            </w:r>
          </w:p>
        </w:tc>
      </w:tr>
      <w:tr>
        <w:trPr>
          <w:tblHeader w:val="false"/>
        </w:trPr>
        <w:tc>
          <w:tcPr>
            <w:tcW w:type="dxa" w:w="3000"/>
            <w:shd w:fill="FFFFFF" w:val="clear"/>
            <w:tcMar>
              <w:top w:type="dxa" w:w="70"/>
              <w:left w:type="dxa" w:w="110"/>
              <w:bottom w:type="dxa" w:w="70"/>
              <w:right w:type="dxa" w:w="110"/>
            </w:tcMar>
          </w:tcPr>
          <w:p>
            <w:r>
              <w:rPr>
                <w:rFonts w:ascii="Calibri" w:cs="Calibri" w:eastAsia="Calibri" w:hAnsi="Calibri"/>
                <w:b/>
                <w:bCs/>
                <w:color w:val="1F2430"/>
                <w:sz w:val="20"/>
                <w:szCs w:val="20"/>
              </w:rPr>
              <w:t xml:space="preserve">Storage</w:t>
            </w:r>
          </w:p>
        </w:tc>
        <w:tc>
          <w:tcPr>
            <w:tcW w:type="dxa" w:w="7080"/>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PostgreSQL. Add pgvector if you go semantic.</w:t>
            </w:r>
          </w:p>
        </w:tc>
      </w:tr>
      <w:tr>
        <w:trPr>
          <w:tblHeader w:val="false"/>
        </w:trPr>
        <w:tc>
          <w:tcPr>
            <w:tcW w:type="dxa" w:w="3000"/>
            <w:shd w:fill="FFFFFF" w:val="clear"/>
            <w:tcMar>
              <w:top w:type="dxa" w:w="70"/>
              <w:left w:type="dxa" w:w="110"/>
              <w:bottom w:type="dxa" w:w="70"/>
              <w:right w:type="dxa" w:w="110"/>
            </w:tcMar>
          </w:tcPr>
          <w:p>
            <w:r>
              <w:rPr>
                <w:rFonts w:ascii="Calibri" w:cs="Calibri" w:eastAsia="Calibri" w:hAnsi="Calibri"/>
                <w:b/>
                <w:bCs/>
                <w:color w:val="1F2430"/>
                <w:sz w:val="20"/>
                <w:szCs w:val="20"/>
              </w:rPr>
              <w:t xml:space="preserve">Cache or queue</w:t>
            </w:r>
          </w:p>
        </w:tc>
        <w:tc>
          <w:tcPr>
            <w:tcW w:type="dxa" w:w="7080"/>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Redis if you need it.</w:t>
            </w:r>
          </w:p>
        </w:tc>
      </w:tr>
      <w:tr>
        <w:trPr>
          <w:tblHeader w:val="false"/>
        </w:trPr>
        <w:tc>
          <w:tcPr>
            <w:tcW w:type="dxa" w:w="3000"/>
            <w:shd w:fill="FFFFFF" w:val="clear"/>
            <w:tcMar>
              <w:top w:type="dxa" w:w="70"/>
              <w:left w:type="dxa" w:w="110"/>
              <w:bottom w:type="dxa" w:w="70"/>
              <w:right w:type="dxa" w:w="110"/>
            </w:tcMar>
          </w:tcPr>
          <w:p>
            <w:r>
              <w:rPr>
                <w:rFonts w:ascii="Calibri" w:cs="Calibri" w:eastAsia="Calibri" w:hAnsi="Calibri"/>
                <w:b/>
                <w:bCs/>
                <w:color w:val="1F2430"/>
                <w:sz w:val="20"/>
                <w:szCs w:val="20"/>
              </w:rPr>
              <w:t xml:space="preserve">AI</w:t>
            </w:r>
          </w:p>
        </w:tc>
        <w:tc>
          <w:tcPr>
            <w:tcW w:type="dxa" w:w="7080"/>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Claude API for embeddings or generation, if used.</w:t>
            </w:r>
          </w:p>
        </w:tc>
      </w:tr>
      <w:tr>
        <w:trPr>
          <w:tblHeader w:val="false"/>
        </w:trPr>
        <w:tc>
          <w:tcPr>
            <w:tcW w:type="dxa" w:w="3000"/>
            <w:shd w:fill="FFFFFF" w:val="clear"/>
            <w:tcMar>
              <w:top w:type="dxa" w:w="70"/>
              <w:left w:type="dxa" w:w="110"/>
              <w:bottom w:type="dxa" w:w="70"/>
              <w:right w:type="dxa" w:w="110"/>
            </w:tcMar>
          </w:tcPr>
          <w:p>
            <w:r>
              <w:rPr>
                <w:rFonts w:ascii="Calibri" w:cs="Calibri" w:eastAsia="Calibri" w:hAnsi="Calibri"/>
                <w:b/>
                <w:bCs/>
                <w:color w:val="1F2430"/>
                <w:sz w:val="20"/>
                <w:szCs w:val="20"/>
              </w:rPr>
              <w:t xml:space="preserve">Packaging</w:t>
            </w:r>
          </w:p>
        </w:tc>
        <w:tc>
          <w:tcPr>
            <w:tcW w:type="dxa" w:w="7080"/>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Runs from a README in one command (Docker or a documented local setup).</w:t>
            </w:r>
          </w:p>
        </w:tc>
      </w:tr>
    </w:tbl>
    <w:p>
      <w:pPr>
        <w:pBdr>
          <w:bottom w:val="single" w:color="C9D2E3" w:sz="6" w:space="4"/>
        </w:pBdr>
        <w:spacing w:after="120" w:before="280"/>
      </w:pPr>
      <w:r>
        <w:rPr>
          <w:rFonts w:ascii="Calibri" w:cs="Calibri" w:eastAsia="Calibri" w:hAnsi="Calibri"/>
          <w:b/>
          <w:bCs/>
          <w:color w:val="1E2761"/>
          <w:sz w:val="26"/>
          <w:szCs w:val="26"/>
        </w:rPr>
        <w:t xml:space="preserve">5.  Hard requirements</w:t>
      </w:r>
    </w:p>
    <w:p>
      <w:pPr>
        <w:spacing w:after="80" w:line="264"/>
      </w:pPr>
      <w:r>
        <w:rPr>
          <w:rFonts w:ascii="Calibri" w:cs="Calibri" w:eastAsia="Calibri" w:hAnsi="Calibri"/>
          <w:color w:val="1F2430"/>
          <w:sz w:val="21"/>
          <w:szCs w:val="21"/>
        </w:rPr>
        <w:t xml:space="preserve">These are the guarantees the prototype must hold. They matter more than breadth of features.</w:t>
      </w:r>
    </w:p>
    <w:p>
      <w:pPr>
        <w:pStyle w:val="ListParagraph"/>
        <w:numPr>
          <w:ilvl w:val="0"/>
          <w:numId w:val="1"/>
        </w:numPr>
        <w:spacing w:after="70" w:line="258"/>
      </w:pPr>
      <w:r>
        <w:rPr>
          <w:rFonts w:ascii="Calibri" w:cs="Calibri" w:eastAsia="Calibri" w:hAnsi="Calibri"/>
          <w:b/>
          <w:bCs/>
          <w:color w:val="1F2430"/>
          <w:sz w:val="21"/>
          <w:szCs w:val="21"/>
        </w:rPr>
        <w:t xml:space="preserve">No leakage.  </w:t>
      </w:r>
      <w:r>
        <w:rPr>
          <w:rFonts w:ascii="Calibri" w:cs="Calibri" w:eastAsia="Calibri" w:hAnsi="Calibri"/>
          <w:color w:val="1F2430"/>
          <w:sz w:val="21"/>
          <w:szCs w:val="21"/>
        </w:rPr>
        <w:t xml:space="preserve">No path returns a pending, rejected, or out-of-role item, including titles and snippets.</w:t>
      </w:r>
    </w:p>
    <w:p>
      <w:pPr>
        <w:pStyle w:val="ListParagraph"/>
        <w:numPr>
          <w:ilvl w:val="0"/>
          <w:numId w:val="1"/>
        </w:numPr>
        <w:spacing w:after="70" w:line="258"/>
      </w:pPr>
      <w:r>
        <w:rPr>
          <w:rFonts w:ascii="Calibri" w:cs="Calibri" w:eastAsia="Calibri" w:hAnsi="Calibri"/>
          <w:b/>
          <w:bCs/>
          <w:color w:val="1F2430"/>
          <w:sz w:val="21"/>
          <w:szCs w:val="21"/>
        </w:rPr>
        <w:t xml:space="preserve">Tamper-evident audit.  </w:t>
      </w:r>
      <w:r>
        <w:rPr>
          <w:rFonts w:ascii="Calibri" w:cs="Calibri" w:eastAsia="Calibri" w:hAnsi="Calibri"/>
          <w:color w:val="1F2430"/>
          <w:sz w:val="21"/>
          <w:szCs w:val="21"/>
        </w:rPr>
        <w:t xml:space="preserve">Given the log, alteration or removal of any entry is detectable.</w:t>
      </w:r>
    </w:p>
    <w:p>
      <w:pPr>
        <w:pStyle w:val="ListParagraph"/>
        <w:numPr>
          <w:ilvl w:val="0"/>
          <w:numId w:val="1"/>
        </w:numPr>
        <w:spacing w:after="70" w:line="258"/>
      </w:pPr>
      <w:r>
        <w:rPr>
          <w:rFonts w:ascii="Calibri" w:cs="Calibri" w:eastAsia="Calibri" w:hAnsi="Calibri"/>
          <w:b/>
          <w:bCs/>
          <w:color w:val="1F2430"/>
          <w:sz w:val="21"/>
          <w:szCs w:val="21"/>
        </w:rPr>
        <w:t xml:space="preserve">No secrets in the open.  </w:t>
      </w:r>
      <w:r>
        <w:rPr>
          <w:rFonts w:ascii="Calibri" w:cs="Calibri" w:eastAsia="Calibri" w:hAnsi="Calibri"/>
          <w:color w:val="1F2430"/>
          <w:sz w:val="21"/>
          <w:szCs w:val="21"/>
        </w:rPr>
        <w:t xml:space="preserve">Secrets, keys, and credentials never appear in logs, audit entries, or model prompts.</w:t>
      </w:r>
    </w:p>
    <w:p>
      <w:pPr>
        <w:pStyle w:val="ListParagraph"/>
        <w:numPr>
          <w:ilvl w:val="0"/>
          <w:numId w:val="1"/>
        </w:numPr>
        <w:spacing w:after="70" w:line="258"/>
      </w:pPr>
      <w:r>
        <w:rPr>
          <w:rFonts w:ascii="Calibri" w:cs="Calibri" w:eastAsia="Calibri" w:hAnsi="Calibri"/>
          <w:b/>
          <w:bCs/>
          <w:color w:val="1F2430"/>
          <w:sz w:val="21"/>
          <w:szCs w:val="21"/>
        </w:rPr>
        <w:t xml:space="preserve">Least privilege by construction.  </w:t>
      </w:r>
      <w:r>
        <w:rPr>
          <w:rFonts w:ascii="Calibri" w:cs="Calibri" w:eastAsia="Calibri" w:hAnsi="Calibri"/>
          <w:color w:val="1F2430"/>
          <w:sz w:val="21"/>
          <w:szCs w:val="21"/>
        </w:rPr>
        <w:t xml:space="preserve">The retrieval path cannot read pending or out-of-role items by design, not by a filter bolted on at the end.</w:t>
      </w:r>
    </w:p>
    <w:p>
      <w:pPr>
        <w:pStyle w:val="ListParagraph"/>
        <w:numPr>
          <w:ilvl w:val="0"/>
          <w:numId w:val="1"/>
        </w:numPr>
        <w:spacing w:after="70" w:line="258"/>
      </w:pPr>
      <w:r>
        <w:rPr>
          <w:rFonts w:ascii="Calibri" w:cs="Calibri" w:eastAsia="Calibri" w:hAnsi="Calibri"/>
          <w:b/>
          <w:bCs/>
          <w:color w:val="1F2430"/>
          <w:sz w:val="21"/>
          <w:szCs w:val="21"/>
        </w:rPr>
        <w:t xml:space="preserve">Tests that prove the guarantees.  </w:t>
      </w:r>
      <w:r>
        <w:rPr>
          <w:rFonts w:ascii="Calibri" w:cs="Calibri" w:eastAsia="Calibri" w:hAnsi="Calibri"/>
          <w:color w:val="1F2430"/>
          <w:sz w:val="21"/>
          <w:szCs w:val="21"/>
        </w:rPr>
        <w:t xml:space="preserve">Cover the governance behavior above, not only the happy path.</w:t>
      </w:r>
    </w:p>
    <w:p>
      <w:pPr>
        <w:pBdr>
          <w:bottom w:val="single" w:color="C9D2E3" w:sz="6" w:space="4"/>
        </w:pBdr>
        <w:spacing w:after="120" w:before="280"/>
      </w:pPr>
      <w:r>
        <w:rPr>
          <w:rFonts w:ascii="Calibri" w:cs="Calibri" w:eastAsia="Calibri" w:hAnsi="Calibri"/>
          <w:b/>
          <w:bCs/>
          <w:color w:val="1E2761"/>
          <w:sz w:val="26"/>
          <w:szCs w:val="26"/>
        </w:rPr>
        <w:t xml:space="preserve">6.  Deliverables</w:t>
      </w:r>
    </w:p>
    <w:p>
      <w:pPr>
        <w:pStyle w:val="ListParagraph"/>
        <w:numPr>
          <w:ilvl w:val="0"/>
          <w:numId w:val="1"/>
        </w:numPr>
        <w:spacing w:after="70" w:line="258"/>
      </w:pPr>
      <w:r>
        <w:rPr>
          <w:rFonts w:ascii="Calibri" w:cs="Calibri" w:eastAsia="Calibri" w:hAnsi="Calibri"/>
          <w:b/>
          <w:bCs/>
          <w:color w:val="1F2430"/>
          <w:sz w:val="21"/>
          <w:szCs w:val="21"/>
        </w:rPr>
        <w:t xml:space="preserve">Repository.  </w:t>
      </w:r>
      <w:r>
        <w:rPr>
          <w:rFonts w:ascii="Calibri" w:cs="Calibri" w:eastAsia="Calibri" w:hAnsi="Calibri"/>
          <w:color w:val="1F2430"/>
          <w:sz w:val="21"/>
          <w:szCs w:val="21"/>
        </w:rPr>
        <w:t xml:space="preserve">A repository or archive that runs from a README in one command.</w:t>
      </w:r>
    </w:p>
    <w:p>
      <w:pPr>
        <w:pStyle w:val="ListParagraph"/>
        <w:numPr>
          <w:ilvl w:val="0"/>
          <w:numId w:val="1"/>
        </w:numPr>
        <w:spacing w:after="70" w:line="258"/>
      </w:pPr>
      <w:r>
        <w:rPr>
          <w:rFonts w:ascii="Calibri" w:cs="Calibri" w:eastAsia="Calibri" w:hAnsi="Calibri"/>
          <w:b/>
          <w:bCs/>
          <w:color w:val="1F2430"/>
          <w:sz w:val="21"/>
          <w:szCs w:val="21"/>
        </w:rPr>
        <w:t xml:space="preserve">Design note.  </w:t>
      </w:r>
      <w:r>
        <w:rPr>
          <w:rFonts w:ascii="Calibri" w:cs="Calibri" w:eastAsia="Calibri" w:hAnsi="Calibri"/>
          <w:color w:val="1F2430"/>
          <w:sz w:val="21"/>
          <w:szCs w:val="21"/>
        </w:rPr>
        <w:t xml:space="preserve">At most two pages: the model you chose, the governance and audit design, the tradeoffs you made, what you would harden with more time, and the top three risks you see.</w:t>
      </w:r>
    </w:p>
    <w:p>
      <w:pPr>
        <w:pStyle w:val="ListParagraph"/>
        <w:numPr>
          <w:ilvl w:val="0"/>
          <w:numId w:val="1"/>
        </w:numPr>
        <w:spacing w:after="70" w:line="258"/>
      </w:pPr>
      <w:r>
        <w:rPr>
          <w:rFonts w:ascii="Calibri" w:cs="Calibri" w:eastAsia="Calibri" w:hAnsi="Calibri"/>
          <w:b/>
          <w:bCs/>
          <w:color w:val="1F2430"/>
          <w:sz w:val="21"/>
          <w:szCs w:val="21"/>
        </w:rPr>
        <w:t xml:space="preserve">Tests.  </w:t>
      </w:r>
      <w:r>
        <w:rPr>
          <w:rFonts w:ascii="Calibri" w:cs="Calibri" w:eastAsia="Calibri" w:hAnsi="Calibri"/>
          <w:color w:val="1F2430"/>
          <w:sz w:val="21"/>
          <w:szCs w:val="21"/>
        </w:rPr>
        <w:t xml:space="preserve">Covering the hard requirements above.</w:t>
      </w:r>
    </w:p>
    <w:p>
      <w:pPr>
        <w:pStyle w:val="ListParagraph"/>
        <w:numPr>
          <w:ilvl w:val="0"/>
          <w:numId w:val="1"/>
        </w:numPr>
        <w:spacing w:after="70" w:line="258"/>
      </w:pPr>
      <w:r>
        <w:rPr>
          <w:rFonts w:ascii="Calibri" w:cs="Calibri" w:eastAsia="Calibri" w:hAnsi="Calibri"/>
          <w:b/>
          <w:bCs/>
          <w:color w:val="1F2430"/>
          <w:sz w:val="21"/>
          <w:szCs w:val="21"/>
        </w:rPr>
        <w:t xml:space="preserve">Demo path.  </w:t>
      </w:r>
      <w:r>
        <w:rPr>
          <w:rFonts w:ascii="Calibri" w:cs="Calibri" w:eastAsia="Calibri" w:hAnsi="Calibri"/>
          <w:color w:val="1F2430"/>
          <w:sz w:val="21"/>
          <w:szCs w:val="21"/>
        </w:rPr>
        <w:t xml:space="preserve">In the README: ingest, approve, retrieve as an in-role caller, then attempt retrieval as an out-of-role caller and show it is blocked.</w:t>
      </w:r>
    </w:p>
    <w:p>
      <w:pPr>
        <w:pBdr>
          <w:bottom w:val="single" w:color="C9D2E3" w:sz="6" w:space="4"/>
        </w:pBdr>
        <w:spacing w:after="120" w:before="280"/>
      </w:pPr>
      <w:r>
        <w:rPr>
          <w:rFonts w:ascii="Calibri" w:cs="Calibri" w:eastAsia="Calibri" w:hAnsi="Calibri"/>
          <w:b/>
          <w:bCs/>
          <w:color w:val="1E2761"/>
          <w:sz w:val="26"/>
          <w:szCs w:val="26"/>
        </w:rPr>
        <w:t xml:space="preserve">7.  Definition of done</w:t>
      </w:r>
    </w:p>
    <w:p>
      <w:pPr>
        <w:pStyle w:val="ListParagraph"/>
        <w:numPr>
          <w:ilvl w:val="0"/>
          <w:numId w:val="1"/>
        </w:numPr>
        <w:spacing w:after="70" w:line="258"/>
      </w:pPr>
      <w:r>
        <w:rPr>
          <w:rFonts w:ascii="Calibri" w:cs="Calibri" w:eastAsia="Calibri" w:hAnsi="Calibri"/>
          <w:color w:val="1F2430"/>
          <w:sz w:val="21"/>
          <w:szCs w:val="21"/>
        </w:rPr>
        <w:t xml:space="preserve">The hub runs from the README on a clean machine.</w:t>
      </w:r>
    </w:p>
    <w:p>
      <w:pPr>
        <w:pStyle w:val="ListParagraph"/>
        <w:numPr>
          <w:ilvl w:val="0"/>
          <w:numId w:val="1"/>
        </w:numPr>
        <w:spacing w:after="70" w:line="258"/>
      </w:pPr>
      <w:r>
        <w:rPr>
          <w:rFonts w:ascii="Calibri" w:cs="Calibri" w:eastAsia="Calibri" w:hAnsi="Calibri"/>
          <w:color w:val="1F2430"/>
          <w:sz w:val="21"/>
          <w:szCs w:val="21"/>
        </w:rPr>
        <w:t xml:space="preserve">The approval gate and role scoping hold across every retrieval path.</w:t>
      </w:r>
    </w:p>
    <w:p>
      <w:pPr>
        <w:pStyle w:val="ListParagraph"/>
        <w:numPr>
          <w:ilvl w:val="0"/>
          <w:numId w:val="1"/>
        </w:numPr>
        <w:spacing w:after="70" w:line="258"/>
      </w:pPr>
      <w:r>
        <w:rPr>
          <w:rFonts w:ascii="Calibri" w:cs="Calibri" w:eastAsia="Calibri" w:hAnsi="Calibri"/>
          <w:color w:val="1F2430"/>
          <w:sz w:val="21"/>
          <w:szCs w:val="21"/>
        </w:rPr>
        <w:t xml:space="preserve">The audit trail is append-only and tamper-evident, and every decision is recorded.</w:t>
      </w:r>
    </w:p>
    <w:p>
      <w:pPr>
        <w:pStyle w:val="ListParagraph"/>
        <w:numPr>
          <w:ilvl w:val="0"/>
          <w:numId w:val="1"/>
        </w:numPr>
        <w:spacing w:after="70" w:line="258"/>
      </w:pPr>
      <w:r>
        <w:rPr>
          <w:rFonts w:ascii="Calibri" w:cs="Calibri" w:eastAsia="Calibri" w:hAnsi="Calibri"/>
          <w:color w:val="1F2430"/>
          <w:sz w:val="21"/>
          <w:szCs w:val="21"/>
        </w:rPr>
        <w:t xml:space="preserve">Tests pass and cover the governance guarantees.</w:t>
      </w:r>
    </w:p>
    <w:p>
      <w:pPr>
        <w:pStyle w:val="ListParagraph"/>
        <w:numPr>
          <w:ilvl w:val="0"/>
          <w:numId w:val="1"/>
        </w:numPr>
        <w:spacing w:after="70" w:line="258"/>
      </w:pPr>
      <w:r>
        <w:rPr>
          <w:rFonts w:ascii="Calibri" w:cs="Calibri" w:eastAsia="Calibri" w:hAnsi="Calibri"/>
          <w:color w:val="1F2430"/>
          <w:sz w:val="21"/>
          <w:szCs w:val="21"/>
        </w:rPr>
        <w:t xml:space="preserve">The design note is included.</w:t>
      </w:r>
    </w:p>
    <w:p>
      <w:pPr>
        <w:pBdr>
          <w:bottom w:val="single" w:color="C9D2E3" w:sz="6" w:space="4"/>
        </w:pBdr>
        <w:spacing w:after="120" w:before="280"/>
      </w:pPr>
      <w:r>
        <w:rPr>
          <w:rFonts w:ascii="Calibri" w:cs="Calibri" w:eastAsia="Calibri" w:hAnsi="Calibri"/>
          <w:b/>
          <w:bCs/>
          <w:color w:val="1E2761"/>
          <w:sz w:val="26"/>
          <w:szCs w:val="26"/>
        </w:rPr>
        <w:t xml:space="preserve">8.  Time budget</w:t>
      </w:r>
    </w:p>
    <w:p>
      <w:pPr>
        <w:spacing w:after="60" w:line="264"/>
      </w:pPr>
      <w:r>
        <w:rPr>
          <w:rFonts w:ascii="Calibri" w:cs="Calibri" w:eastAsia="Calibri" w:hAnsi="Calibri"/>
          <w:color w:val="1F2430"/>
          <w:sz w:val="21"/>
          <w:szCs w:val="21"/>
        </w:rPr>
        <w:t xml:space="preserve">Budget 16 hours for the prototype. A smaller build that is correct and governed is worth more than a larger one that leaks, so scope for a working slice.</w:t>
      </w:r>
    </w:p>
    <w:p>
      <w:pPr>
        <w:pBdr>
          <w:bottom w:val="single" w:color="C9D2E3" w:sz="6" w:space="4"/>
        </w:pBdr>
        <w:spacing w:after="120" w:before="280"/>
      </w:pPr>
      <w:r>
        <w:rPr>
          <w:rFonts w:ascii="Calibri" w:cs="Calibri" w:eastAsia="Calibri" w:hAnsi="Calibri"/>
          <w:b/>
          <w:bCs/>
          <w:color w:val="1E2761"/>
          <w:sz w:val="26"/>
          <w:szCs w:val="26"/>
        </w:rPr>
        <w:t xml:space="preserve">9.  Design review</w:t>
      </w:r>
    </w:p>
    <w:p>
      <w:pPr>
        <w:spacing w:after="80" w:line="264"/>
      </w:pPr>
      <w:r>
        <w:rPr>
          <w:rFonts w:ascii="Calibri" w:cs="Calibri" w:eastAsia="Calibri" w:hAnsi="Calibri"/>
          <w:color w:val="1F2430"/>
          <w:sz w:val="21"/>
          <w:szCs w:val="21"/>
        </w:rPr>
        <w:t xml:space="preserve">We will walk through the build together after submission (about 45 minutes). Come ready to cover:</w:t>
      </w:r>
    </w:p>
    <w:p>
      <w:pPr>
        <w:pStyle w:val="ListParagraph"/>
        <w:numPr>
          <w:ilvl w:val="0"/>
          <w:numId w:val="1"/>
        </w:numPr>
        <w:spacing w:after="70" w:line="258"/>
      </w:pPr>
      <w:r>
        <w:rPr>
          <w:rFonts w:ascii="Calibri" w:cs="Calibri" w:eastAsia="Calibri" w:hAnsi="Calibri"/>
          <w:color w:val="1F2430"/>
          <w:sz w:val="21"/>
          <w:szCs w:val="21"/>
        </w:rPr>
        <w:t xml:space="preserve">The audit design, and what makes it tamper-evident.</w:t>
      </w:r>
    </w:p>
    <w:p>
      <w:pPr>
        <w:pStyle w:val="ListParagraph"/>
        <w:numPr>
          <w:ilvl w:val="0"/>
          <w:numId w:val="1"/>
        </w:numPr>
        <w:spacing w:after="70" w:line="258"/>
      </w:pPr>
      <w:r>
        <w:rPr>
          <w:rFonts w:ascii="Calibri" w:cs="Calibri" w:eastAsia="Calibri" w:hAnsi="Calibri"/>
          <w:color w:val="1F2430"/>
          <w:sz w:val="21"/>
          <w:szCs w:val="21"/>
        </w:rPr>
        <w:t xml:space="preserve">Where role scoping could leak, and how you would know.</w:t>
      </w:r>
    </w:p>
    <w:p>
      <w:pPr>
        <w:pStyle w:val="ListParagraph"/>
        <w:numPr>
          <w:ilvl w:val="0"/>
          <w:numId w:val="1"/>
        </w:numPr>
        <w:spacing w:after="70" w:line="258"/>
      </w:pPr>
      <w:r>
        <w:rPr>
          <w:rFonts w:ascii="Calibri" w:cs="Calibri" w:eastAsia="Calibri" w:hAnsi="Calibri"/>
          <w:color w:val="1F2430"/>
          <w:sz w:val="21"/>
          <w:szCs w:val="21"/>
        </w:rPr>
        <w:t xml:space="preserve">How you would wire an existing agent to read and write through the hub without re-authoring it.</w:t>
      </w:r>
    </w:p>
    <w:p>
      <w:pPr>
        <w:pStyle w:val="ListParagraph"/>
        <w:numPr>
          <w:ilvl w:val="0"/>
          <w:numId w:val="1"/>
        </w:numPr>
        <w:spacing w:after="70" w:line="258"/>
      </w:pPr>
      <w:r>
        <w:rPr>
          <w:rFonts w:ascii="Calibri" w:cs="Calibri" w:eastAsia="Calibri" w:hAnsi="Calibri"/>
          <w:color w:val="1F2430"/>
          <w:sz w:val="21"/>
          <w:szCs w:val="21"/>
        </w:rPr>
        <w:t xml:space="preserve">What changes to take this from a local slice to a client cloud deployment under a security review.</w:t>
      </w:r>
    </w:p>
    <w:p>
      <w:pPr>
        <w:pBdr>
          <w:bottom w:val="single" w:color="C9D2E3" w:sz="6" w:space="4"/>
        </w:pBdr>
        <w:spacing w:after="120" w:before="280"/>
      </w:pPr>
      <w:r>
        <w:rPr>
          <w:rFonts w:ascii="Calibri" w:cs="Calibri" w:eastAsia="Calibri" w:hAnsi="Calibri"/>
          <w:b/>
          <w:bCs/>
          <w:color w:val="1E2761"/>
          <w:sz w:val="26"/>
          <w:szCs w:val="26"/>
        </w:rPr>
        <w:t xml:space="preserve">10.  Submission and contact</w:t>
      </w:r>
    </w:p>
    <w:p>
      <w:pPr>
        <w:spacing w:after="40" w:line="264"/>
      </w:pPr>
      <w:r>
        <w:rPr>
          <w:rFonts w:ascii="Calibri" w:cs="Calibri" w:eastAsia="Calibri" w:hAnsi="Calibri"/>
          <w:color w:val="1F2430"/>
          <w:sz w:val="21"/>
          <w:szCs w:val="21"/>
        </w:rPr>
        <w:t xml:space="preserve">Submit the repository link or archive and the design note to Binod Kumar by the agreed date. Questions during the build go to the same address. Please keep the work confidential to the Flourish programme.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tabs>
        <w:tab w:val="right" w:pos="10080"/>
      </w:tabs>
    </w:pPr>
    <w:r>
      <w:rPr>
        <w:rFonts w:ascii="Calibri" w:cs="Calibri" w:eastAsia="Calibri" w:hAnsi="Calibri"/>
        <w:color w:val="5A6472"/>
        <w:sz w:val="16"/>
        <w:szCs w:val="16"/>
      </w:rPr>
      <w:t xml:space="preserve">AgentsArchitects  ·  Flourish Programme  ·  Confidential</w:t>
    </w:r>
    <w:r>
      <w:rPr>
        <w:rFonts w:ascii="Calibri" w:cs="Calibri" w:eastAsia="Calibri" w:hAnsi="Calibri"/>
        <w:sz w:val="16"/>
        <w:szCs w:val="16"/>
      </w:rPr>
      <w:t xml:space="preserve">	</w:t>
    </w:r>
    <w:r>
      <w:rPr>
        <w:rFonts w:ascii="Calibri" w:cs="Calibri" w:eastAsia="Calibri" w:hAnsi="Calibri"/>
        <w:color w:val="5A64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2026-07-16T06:40:16.450Z</dcterms:created>
  <dcterms:modified xsi:type="dcterms:W3CDTF">2026-07-16T06:40:16.450Z</dcterms:modified>
</cp:coreProperties>
</file>

<file path=docProps/custom.xml><?xml version="1.0" encoding="utf-8"?>
<Properties xmlns="http://schemas.openxmlformats.org/officeDocument/2006/custom-properties" xmlns:vt="http://schemas.openxmlformats.org/officeDocument/2006/docPropsVTypes"/>
</file>