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Data Model Summary</w:t>
      </w:r>
    </w:p>
    <w:p>
      <w:r>
        <w:rPr>
          <w:b/>
        </w:rPr>
        <w:t>Schema Type (Star/Snowflake):</w:t>
        <w:br/>
      </w:r>
      <w:r>
        <w:t>The data model follows a Star Schema design. A central fact table (Sales_Fact) is surrounded by multiple dimension tables such as Customer_Dim, Product_Dim, Region_Dim, and Date_Dim. The Returns_Fact table is also linked to the core fact table. This structure ensures clean filtering, optimized performance, and simplified reporting.</w:t>
      </w:r>
    </w:p>
    <w:p>
      <w:r>
        <w:rPr>
          <w:b/>
        </w:rPr>
        <w:br/>
        <w:t>Relationship Rationale and Filter Flow:</w:t>
        <w:br/>
      </w:r>
      <w:r>
        <w:t>Each fact table contains foreign keys pointing to the primary keys of dimension tables. This ensures one-to-many relationships with single-directional filter flow from dimensions to fact tables. Bidirectional filtering was only enabled where required, while the Returns_Fact → Date_Dim relationship was kept inactive and activated using DAX when needed.</w:t>
      </w:r>
    </w:p>
    <w:p>
      <w:r>
        <w:rPr>
          <w:b/>
        </w:rPr>
        <w:br/>
        <w:t>Issues Encountered and How They Were Resolved:</w:t>
        <w:br/>
      </w:r>
      <w:r>
        <w:t>During modelling, filter ambiguity occurred due to potential multiple filter paths. This was resolved by setting relationship directions to single and avoiding unnecessary bidirectional flows. Additionally, maintaining an inactive relationship for ReturnDateKey prevented circular dependencies and was manually activated in calculations when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