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sz w:val="28"/>
        </w:rPr>
        <w:t>CHAPTER I</w:t>
      </w:r>
    </w:p>
    <w:p>
      <w:pPr>
        <w:spacing w:after="240"/>
        <w:jc w:val="center"/>
      </w:pPr>
      <w:r>
        <w:rPr>
          <w:rFonts w:ascii="Times New Roman" w:hAnsi="Times New Roman"/>
          <w:b/>
          <w:sz w:val="28"/>
        </w:rPr>
        <w:t>INTRODUCTION</w:t>
      </w:r>
    </w:p>
    <w:p>
      <w:pPr>
        <w:spacing w:before="240" w:after="120"/>
      </w:pPr>
      <w:r>
        <w:rPr>
          <w:rFonts w:ascii="Times New Roman" w:hAnsi="Times New Roman"/>
          <w:b/>
          <w:sz w:val="24"/>
        </w:rPr>
        <w:t>1.0  Introduction</w:t>
      </w:r>
    </w:p>
    <w:p>
      <w:pPr>
        <w:spacing w:after="120" w:line="360" w:lineRule="auto"/>
        <w:jc w:val="both"/>
      </w:pPr>
      <w:r>
        <w:rPr>
          <w:rFonts w:ascii="Times New Roman" w:hAnsi="Times New Roman"/>
          <w:b w:val="0"/>
          <w:i w:val="0"/>
          <w:sz w:val="24"/>
        </w:rPr>
        <w:t>Zero-day attacks — exploits for vulnerabilities unknown to vendor or defender — drive the most consequential breaches. The zero-day has been defined as “a vulnerability in software or hardware that is unknown to the vendor and for which no patch or signature exists at the time of exploitation” (NIST SP 800-150). An intrusion detection system has been defined as “a system that monitors network or host activity for signs of malicious behaviour or policy violation and produces reports to a management station” (Debar et al., 1999). According to NIST CSF and MITRE ATT&amp;CK any host that processes network communications and deviates from learned normality would come under anomalous behaviour. Globally, NIDS/NADS are the most commonly used terms for network defence. However, technically, zero-day detection is only a subset of anomaly detection applied to network and host behaviour.</w:t>
      </w:r>
    </w:p>
    <w:p>
      <w:pPr>
        <w:spacing w:after="120" w:line="360" w:lineRule="auto"/>
        <w:jc w:val="both"/>
      </w:pPr>
      <w:r>
        <w:rPr>
          <w:rFonts w:ascii="Times New Roman" w:hAnsi="Times New Roman"/>
          <w:b w:val="0"/>
          <w:i w:val="0"/>
          <w:sz w:val="24"/>
        </w:rPr>
        <w:t>Signature-based NIDS cannot detect zero-days by definition; they match only known patterns. This project learns normal network behaviour unsupervised and flags deviations, explains why, monitors drift when “normal” itself shifts, and measures what evasion would cost an attacker. Three pillars are planned: network flows (Pillar 1, Semester 7), identity/UEBA (Pillar 2), and host syscalls via eBPF (Pillar 3, weeks 4–12). This report covers Semester 7 — Pillar 1 at production depth plus scaffolding for Pillars 2/3.</w:t>
      </w:r>
    </w:p>
    <w:p>
      <w:pPr>
        <w:spacing w:before="240" w:after="120"/>
      </w:pPr>
      <w:r>
        <w:rPr>
          <w:rFonts w:ascii="Times New Roman" w:hAnsi="Times New Roman"/>
          <w:b/>
          <w:sz w:val="24"/>
        </w:rPr>
        <w:t>1.1  Background</w:t>
      </w:r>
    </w:p>
    <w:p>
      <w:pPr>
        <w:spacing w:after="120" w:line="360" w:lineRule="auto"/>
        <w:jc w:val="both"/>
      </w:pPr>
      <w:r>
        <w:rPr>
          <w:rFonts w:ascii="Times New Roman" w:hAnsi="Times New Roman"/>
          <w:b w:val="0"/>
          <w:i w:val="0"/>
          <w:sz w:val="24"/>
        </w:rPr>
        <w:t>Enterprise networks generate millions of bidirectional flows. Each flow is one row: who talked to whom, which port, which protocol, how many bytes and packets, how long, and flag statistics — 80+ per-flow features per CICFlowMeter (Arash Habibi Lashkari, CIC). CICIDS2017 exists in two releases: the 79-column MachineLearningCSV (no IP columns) and the 85-column GeneratedLabelledFlows (has Flow ID, Source IP, Destination IP, Protocol, Timestamp — required for graphs, latin-1 encoded). Only the latter can build host graphs.</w:t>
      </w:r>
    </w:p>
    <w:p>
      <w:pPr>
        <w:spacing w:after="120" w:line="360" w:lineRule="auto"/>
        <w:jc w:val="both"/>
      </w:pPr>
      <w:r>
        <w:rPr>
          <w:rFonts w:ascii="Times New Roman" w:hAnsi="Times New Roman"/>
          <w:b w:val="0"/>
          <w:i w:val="0"/>
          <w:sz w:val="24"/>
        </w:rPr>
        <w:t>A scanner’s single flows look benign — a TCP SYN to port 22 appears normal. Its fan-out across a 60-second window does not: one host contacting 200 distinct peers in 60 seconds is a rate that the graph makes visible. Similarly, a DDoS victim shows many-to-one collapse, and infiltration shows a single internal host quietly exfiltrating to an external peer with unusual byte-entropy. Relational features — degree, in/out ratio, port entropy, unique peer count, flag ratios — capture these collective patterns that per-flow views discard.</w:t>
      </w:r>
    </w:p>
    <w:p>
      <w:pPr>
        <w:spacing w:after="120" w:line="360" w:lineRule="auto"/>
        <w:jc w:val="both"/>
      </w:pPr>
      <w:r>
        <w:rPr>
          <w:rFonts w:ascii="Times New Roman" w:hAnsi="Times New Roman"/>
          <w:b w:val="0"/>
          <w:i w:val="0"/>
          <w:sz w:val="24"/>
        </w:rPr>
        <w:t>The field has expanded rapidly. As per MITRE, annual new CVEs exceeded 20,000 during 2023-24. VERIZON DBIR estimates global cyber-crime cost at 8-10 Trillion USD per annum.</w:t>
      </w:r>
    </w:p>
    <w:p>
      <w:pPr>
        <w:spacing w:before="240" w:after="120"/>
        <w:jc w:val="center"/>
      </w:pPr>
      <w:r>
        <w:rPr>
          <w:rFonts w:ascii="Times New Roman" w:hAnsi="Times New Roman"/>
          <w:b/>
          <w:sz w:val="20"/>
        </w:rPr>
        <w:t>Table 1.1 : Background analogy — e-waste to network anomaly.</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3744"/>
            <w:vAlign w:val="center"/>
            <w:shd w:fill="2F5597" w:val="clear"/>
          </w:tcPr>
          <w:p>
            <w:pPr>
              <w:spacing w:before="40" w:after="40"/>
              <w:jc w:val="center"/>
            </w:pPr>
            <w:r>
              <w:rPr>
                <w:rFonts w:ascii="Times New Roman" w:hAnsi="Times New Roman"/>
                <w:b/>
                <w:color w:val="FFFFFF"/>
                <w:sz w:val="18"/>
              </w:rPr>
              <w:t>Fact (E-waste analogue)</w:t>
            </w:r>
          </w:p>
        </w:tc>
        <w:tc>
          <w:tcPr>
            <w:tcW w:type="dxa" w:w="5616"/>
            <w:vAlign w:val="center"/>
            <w:shd w:fill="2F5597" w:val="clear"/>
          </w:tcPr>
          <w:p>
            <w:pPr>
              <w:spacing w:before="40" w:after="40"/>
              <w:jc w:val="center"/>
            </w:pPr>
            <w:r>
              <w:rPr>
                <w:rFonts w:ascii="Times New Roman" w:hAnsi="Times New Roman"/>
                <w:b/>
                <w:color w:val="FFFFFF"/>
                <w:sz w:val="18"/>
              </w:rPr>
              <w:t>Network analogue</w:t>
            </w:r>
          </w:p>
        </w:tc>
      </w:tr>
      <w:tr>
        <w:tc>
          <w:tcPr>
            <w:tcW w:type="dxa" w:w="3744"/>
            <w:shd w:fill="D9E1F2" w:val="clear"/>
            <w:vAlign w:val="center"/>
          </w:tcPr>
          <w:p>
            <w:pPr>
              <w:spacing w:before="40" w:after="40"/>
              <w:jc w:val="center"/>
            </w:pPr>
            <w:r>
              <w:rPr>
                <w:rFonts w:ascii="Times New Roman" w:hAnsi="Times New Roman"/>
                <w:sz w:val="18"/>
              </w:rPr>
              <w:t>Annual e-waste India 0.8 Mt (2012), global 30-50 Mt</w:t>
            </w:r>
          </w:p>
        </w:tc>
        <w:tc>
          <w:tcPr>
            <w:tcW w:type="dxa" w:w="5616"/>
            <w:shd w:fill="D9E1F2" w:val="clear"/>
            <w:vAlign w:val="center"/>
          </w:tcPr>
          <w:p>
            <w:pPr>
              <w:spacing w:before="40" w:after="40"/>
              <w:jc w:val="left"/>
            </w:pPr>
            <w:r>
              <w:rPr>
                <w:rFonts w:ascii="Times New Roman" w:hAnsi="Times New Roman"/>
                <w:sz w:val="18"/>
              </w:rPr>
              <w:t>Annual CVEs &gt;20k, alerts per enterprise 10k-100k/day</w:t>
            </w:r>
          </w:p>
        </w:tc>
      </w:tr>
      <w:tr>
        <w:tc>
          <w:tcPr>
            <w:tcW w:type="dxa" w:w="3744"/>
            <w:shd w:fill="FFFFFF" w:val="clear"/>
            <w:vAlign w:val="center"/>
          </w:tcPr>
          <w:p>
            <w:pPr>
              <w:spacing w:before="40" w:after="40"/>
              <w:jc w:val="center"/>
            </w:pPr>
            <w:r>
              <w:rPr>
                <w:rFonts w:ascii="Times New Roman" w:hAnsi="Times New Roman"/>
                <w:sz w:val="18"/>
              </w:rPr>
              <w:t>EEE contains valuables + hazardous toxics</w:t>
            </w:r>
          </w:p>
        </w:tc>
        <w:tc>
          <w:tcPr>
            <w:tcW w:type="dxa" w:w="5616"/>
            <w:shd w:fill="FFFFFF" w:val="clear"/>
            <w:vAlign w:val="center"/>
          </w:tcPr>
          <w:p>
            <w:pPr>
              <w:spacing w:before="40" w:after="40"/>
              <w:jc w:val="left"/>
            </w:pPr>
            <w:r>
              <w:rPr>
                <w:rFonts w:ascii="Times New Roman" w:hAnsi="Times New Roman"/>
                <w:sz w:val="18"/>
              </w:rPr>
              <w:t>Traffic contains benign signal + 1-8 attackers among thousands</w:t>
            </w:r>
          </w:p>
        </w:tc>
      </w:tr>
      <w:tr>
        <w:tc>
          <w:tcPr>
            <w:tcW w:type="dxa" w:w="3744"/>
            <w:shd w:fill="D9E1F2" w:val="clear"/>
            <w:vAlign w:val="center"/>
          </w:tcPr>
          <w:p>
            <w:pPr>
              <w:spacing w:before="40" w:after="40"/>
              <w:jc w:val="center"/>
            </w:pPr>
            <w:r>
              <w:rPr>
                <w:rFonts w:ascii="Times New Roman" w:hAnsi="Times New Roman"/>
                <w:sz w:val="18"/>
              </w:rPr>
              <w:t>Crude recovery (open burning) releases dioxins</w:t>
            </w:r>
          </w:p>
        </w:tc>
        <w:tc>
          <w:tcPr>
            <w:tcW w:type="dxa" w:w="5616"/>
            <w:shd w:fill="D9E1F2" w:val="clear"/>
            <w:vAlign w:val="center"/>
          </w:tcPr>
          <w:p>
            <w:pPr>
              <w:spacing w:before="40" w:after="40"/>
              <w:jc w:val="left"/>
            </w:pPr>
            <w:r>
              <w:rPr>
                <w:rFonts w:ascii="Times New Roman" w:hAnsi="Times New Roman"/>
                <w:sz w:val="18"/>
              </w:rPr>
              <w:t>Crude evaluation (training on attacks) leaks labels</w:t>
            </w:r>
          </w:p>
        </w:tc>
      </w:tr>
      <w:tr>
        <w:tc>
          <w:tcPr>
            <w:tcW w:type="dxa" w:w="3744"/>
            <w:shd w:fill="FFFFFF" w:val="clear"/>
            <w:vAlign w:val="center"/>
          </w:tcPr>
          <w:p>
            <w:pPr>
              <w:spacing w:before="40" w:after="40"/>
              <w:jc w:val="center"/>
            </w:pPr>
            <w:r>
              <w:rPr>
                <w:rFonts w:ascii="Times New Roman" w:hAnsi="Times New Roman"/>
                <w:sz w:val="18"/>
              </w:rPr>
              <w:t>WEEE: Plastics 30%, Oxydes 30%, Copper 20%</w:t>
            </w:r>
          </w:p>
        </w:tc>
        <w:tc>
          <w:tcPr>
            <w:tcW w:type="dxa" w:w="5616"/>
            <w:shd w:fill="FFFFFF" w:val="clear"/>
            <w:vAlign w:val="center"/>
          </w:tcPr>
          <w:p>
            <w:pPr>
              <w:spacing w:before="40" w:after="40"/>
              <w:jc w:val="left"/>
            </w:pPr>
            <w:r>
              <w:rPr>
                <w:rFonts w:ascii="Times New Roman" w:hAnsi="Times New Roman"/>
                <w:sz w:val="18"/>
              </w:rPr>
              <w:t>CICIDS2017: Benign 70%, PortScan 5%, DDoS 8%, Patator 1%</w:t>
            </w:r>
          </w:p>
        </w:tc>
      </w:tr>
    </w:tbl>
    <w:p>
      <w:pPr>
        <w:spacing w:after="120"/>
      </w:pPr>
      <w:r>
        <w:rPr>
          <w:rFonts w:ascii="Times New Roman" w:hAnsi="Times New Roman"/>
          <w:i/>
          <w:sz w:val="16"/>
        </w:rPr>
        <w:t>Source: Umweltbundesamt (2004), MITRE, VERIZON DBIR.</w:t>
      </w:r>
    </w:p>
    <w:p>
      <w:pPr>
        <w:spacing w:before="240" w:after="120"/>
      </w:pPr>
      <w:r>
        <w:rPr>
          <w:rFonts w:ascii="Times New Roman" w:hAnsi="Times New Roman"/>
          <w:b/>
          <w:sz w:val="24"/>
        </w:rPr>
        <w:t>1.2  Problem Statement</w:t>
      </w:r>
    </w:p>
    <w:p>
      <w:pPr>
        <w:pStyle w:val="ListBullet"/>
        <w:spacing w:after="40"/>
        <w:ind w:left="432"/>
      </w:pPr>
      <w:r>
        <w:rPr>
          <w:rFonts w:ascii="Times New Roman" w:hAnsi="Times New Roman"/>
          <w:sz w:val="24"/>
        </w:rPr>
        <w:t>P1. Closed-world classifiers overstate zero-day performance — overlap families report 0.97+ AUC but collapse to 0.47 held-out (WebAttacks).</w:t>
      </w:r>
    </w:p>
    <w:p>
      <w:pPr>
        <w:pStyle w:val="ListBullet"/>
        <w:spacing w:after="40"/>
        <w:ind w:left="432"/>
      </w:pPr>
      <w:r>
        <w:rPr>
          <w:rFonts w:ascii="Times New Roman" w:hAnsi="Times New Roman"/>
          <w:sz w:val="24"/>
        </w:rPr>
        <w:t>P2. Per-flow detectors are structurally blind — M5a swings 0.42–0.98 while M5b never &lt;0.906 (consistency gap).</w:t>
      </w:r>
    </w:p>
    <w:p>
      <w:pPr>
        <w:pStyle w:val="ListBullet"/>
        <w:spacing w:after="40"/>
        <w:ind w:left="432"/>
      </w:pPr>
      <w:r>
        <w:rPr>
          <w:rFonts w:ascii="Times New Roman" w:hAnsi="Times New Roman"/>
          <w:sz w:val="24"/>
        </w:rPr>
        <w:t>P3. Power-law scaling squashes small attackers — Patator/WebAttacks P@100 0.000 until LogScaler fixed to 0.618/0.381.</w:t>
      </w:r>
    </w:p>
    <w:p>
      <w:pPr>
        <w:pStyle w:val="ListBullet"/>
        <w:spacing w:after="40"/>
        <w:ind w:left="432"/>
      </w:pPr>
      <w:r>
        <w:rPr>
          <w:rFonts w:ascii="Times New Roman" w:hAnsi="Times New Roman"/>
          <w:sz w:val="24"/>
        </w:rPr>
        <w:t>P4. Uncalibrated single-scale scores fuse incorrectly — raw vs rank meant 99.9% picks were M5b alone.</w:t>
      </w:r>
    </w:p>
    <w:p>
      <w:pPr>
        <w:spacing w:before="240" w:after="120"/>
      </w:pPr>
      <w:r>
        <w:rPr>
          <w:rFonts w:ascii="Times New Roman" w:hAnsi="Times New Roman"/>
          <w:b/>
          <w:sz w:val="24"/>
        </w:rPr>
        <w:t>1.3  Objectives</w:t>
      </w:r>
    </w:p>
    <w:p>
      <w:pPr>
        <w:pStyle w:val="ListNumber"/>
      </w:pPr>
      <w:r>
        <w:rPr>
          <w:rFonts w:ascii="Times New Roman" w:hAnsi="Times New Roman"/>
          <w:sz w:val="24"/>
        </w:rPr>
        <w:t>Baseline-vs-graph ablation (M5a 87-dim vs M5b 8/19-dim GraphSAGE vs fusion M5c) — the individually attributable headline.</w:t>
      </w:r>
    </w:p>
    <w:p>
      <w:pPr>
        <w:pStyle w:val="ListNumber"/>
      </w:pPr>
      <w:r>
        <w:rPr>
          <w:rFonts w:ascii="Times New Roman" w:hAnsi="Times New Roman"/>
          <w:sz w:val="24"/>
        </w:rPr>
        <w:t>Multi-window calibrated fusion (60s+300s percentile + rank noisy-or 1-Π(1-p)).</w:t>
      </w:r>
    </w:p>
    <w:p>
      <w:pPr>
        <w:pStyle w:val="ListNumber"/>
      </w:pPr>
      <w:r>
        <w:rPr>
          <w:rFonts w:ascii="Times New Roman" w:hAnsi="Times New Roman"/>
          <w:sz w:val="24"/>
        </w:rPr>
        <w:t>Honest held-out protocol — benign Monday only, 7 families, 4-seed GPU-deterministic bands.</w:t>
      </w:r>
    </w:p>
    <w:p>
      <w:pPr>
        <w:pStyle w:val="ListNumber"/>
      </w:pPr>
      <w:r>
        <w:rPr>
          <w:rFonts w:ascii="Times New Roman" w:hAnsi="Times New Roman"/>
          <w:sz w:val="24"/>
        </w:rPr>
        <w:t>Drift-aware SHAP + ATT&amp;CK and adversarial harness (slow 20×, distributed 16×).</w:t>
      </w:r>
    </w:p>
    <w:p>
      <w:pPr>
        <w:spacing w:before="240" w:after="120"/>
      </w:pPr>
      <w:r>
        <w:rPr>
          <w:rFonts w:ascii="Times New Roman" w:hAnsi="Times New Roman"/>
          <w:b/>
          <w:sz w:val="24"/>
        </w:rPr>
        <w:t>1.4  Scope</w:t>
      </w:r>
    </w:p>
    <w:p>
      <w:pPr>
        <w:spacing w:before="240" w:after="120"/>
        <w:jc w:val="center"/>
      </w:pPr>
      <w:r>
        <w:rPr>
          <w:rFonts w:ascii="Times New Roman" w:hAnsi="Times New Roman"/>
          <w:b/>
          <w:sz w:val="20"/>
        </w:rPr>
        <w:t>Table 1.2 : Team mapping (CLAUDE.md).</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016"/>
            <w:vAlign w:val="center"/>
            <w:shd w:fill="2F5597" w:val="clear"/>
          </w:tcPr>
          <w:p>
            <w:pPr>
              <w:spacing w:before="40" w:after="40"/>
              <w:jc w:val="center"/>
            </w:pPr>
            <w:r>
              <w:rPr>
                <w:rFonts w:ascii="Times New Roman" w:hAnsi="Times New Roman"/>
                <w:b/>
                <w:color w:val="FFFFFF"/>
                <w:sz w:val="18"/>
              </w:rPr>
              <w:t>Member</w:t>
            </w:r>
          </w:p>
        </w:tc>
        <w:tc>
          <w:tcPr>
            <w:tcW w:type="dxa" w:w="2592"/>
            <w:vAlign w:val="center"/>
            <w:shd w:fill="2F5597" w:val="clear"/>
          </w:tcPr>
          <w:p>
            <w:pPr>
              <w:spacing w:before="40" w:after="40"/>
              <w:jc w:val="center"/>
            </w:pPr>
            <w:r>
              <w:rPr>
                <w:rFonts w:ascii="Times New Roman" w:hAnsi="Times New Roman"/>
                <w:b/>
                <w:color w:val="FFFFFF"/>
                <w:sz w:val="18"/>
              </w:rPr>
              <w:t>Track</w:t>
            </w:r>
          </w:p>
        </w:tc>
        <w:tc>
          <w:tcPr>
            <w:tcW w:type="dxa" w:w="4752"/>
            <w:vAlign w:val="center"/>
            <w:shd w:fill="2F5597" w:val="clear"/>
          </w:tcPr>
          <w:p>
            <w:pPr>
              <w:spacing w:before="40" w:after="40"/>
              <w:jc w:val="center"/>
            </w:pPr>
            <w:r>
              <w:rPr>
                <w:rFonts w:ascii="Times New Roman" w:hAnsi="Times New Roman"/>
                <w:b/>
                <w:color w:val="FFFFFF"/>
                <w:sz w:val="18"/>
              </w:rPr>
              <w:t>Owns</w:t>
            </w:r>
          </w:p>
        </w:tc>
      </w:tr>
      <w:tr>
        <w:tc>
          <w:tcPr>
            <w:tcW w:type="dxa" w:w="2016"/>
            <w:shd w:fill="D9E1F2" w:val="clear"/>
            <w:vAlign w:val="center"/>
          </w:tcPr>
          <w:p>
            <w:pPr>
              <w:spacing w:before="40" w:after="40"/>
              <w:jc w:val="center"/>
            </w:pPr>
            <w:r>
              <w:rPr>
                <w:rFonts w:ascii="Times New Roman" w:hAnsi="Times New Roman"/>
                <w:sz w:val="18"/>
              </w:rPr>
              <w:t>A — Saharsh</w:t>
            </w:r>
          </w:p>
        </w:tc>
        <w:tc>
          <w:tcPr>
            <w:tcW w:type="dxa" w:w="2592"/>
            <w:shd w:fill="D9E1F2" w:val="clear"/>
            <w:vAlign w:val="center"/>
          </w:tcPr>
          <w:p>
            <w:pPr>
              <w:spacing w:before="40" w:after="40"/>
              <w:jc w:val="left"/>
            </w:pPr>
            <w:r>
              <w:rPr>
                <w:rFonts w:ascii="Times New Roman" w:hAnsi="Times New Roman"/>
                <w:sz w:val="18"/>
              </w:rPr>
              <w:t>Data &amp; Capture</w:t>
            </w:r>
          </w:p>
        </w:tc>
        <w:tc>
          <w:tcPr>
            <w:tcW w:type="dxa" w:w="4752"/>
            <w:shd w:fill="D9E1F2" w:val="clear"/>
            <w:vAlign w:val="center"/>
          </w:tcPr>
          <w:p>
            <w:pPr>
              <w:spacing w:before="40" w:after="40"/>
              <w:jc w:val="left"/>
            </w:pPr>
            <w:r>
              <w:rPr>
                <w:rFonts w:ascii="Times New Roman" w:hAnsi="Times New Roman"/>
                <w:sz w:val="18"/>
              </w:rPr>
              <w:t>FlowRecord, pcap_to_flows, schema_mapper</w:t>
            </w:r>
          </w:p>
        </w:tc>
      </w:tr>
      <w:tr>
        <w:tc>
          <w:tcPr>
            <w:tcW w:type="dxa" w:w="2016"/>
            <w:shd w:fill="FFFFFF" w:val="clear"/>
            <w:vAlign w:val="center"/>
          </w:tcPr>
          <w:p>
            <w:pPr>
              <w:spacing w:before="40" w:after="40"/>
              <w:jc w:val="center"/>
            </w:pPr>
            <w:r>
              <w:rPr>
                <w:rFonts w:ascii="Times New Roman" w:hAnsi="Times New Roman"/>
                <w:sz w:val="18"/>
              </w:rPr>
              <w:t>B — Deep</w:t>
            </w:r>
          </w:p>
        </w:tc>
        <w:tc>
          <w:tcPr>
            <w:tcW w:type="dxa" w:w="2592"/>
            <w:shd w:fill="FFFFFF" w:val="clear"/>
            <w:vAlign w:val="center"/>
          </w:tcPr>
          <w:p>
            <w:pPr>
              <w:spacing w:before="40" w:after="40"/>
              <w:jc w:val="left"/>
            </w:pPr>
            <w:r>
              <w:rPr>
                <w:rFonts w:ascii="Times New Roman" w:hAnsi="Times New Roman"/>
                <w:sz w:val="18"/>
              </w:rPr>
              <w:t>Detection Modeling</w:t>
            </w:r>
          </w:p>
        </w:tc>
        <w:tc>
          <w:tcPr>
            <w:tcW w:type="dxa" w:w="4752"/>
            <w:shd w:fill="FFFFFF" w:val="clear"/>
            <w:vAlign w:val="center"/>
          </w:tcPr>
          <w:p>
            <w:pPr>
              <w:spacing w:before="40" w:after="40"/>
              <w:jc w:val="left"/>
            </w:pPr>
            <w:r>
              <w:rPr>
                <w:rFonts w:ascii="Times New Roman" w:hAnsi="Times New Roman"/>
                <w:sz w:val="18"/>
              </w:rPr>
              <w:t>M5a revived, GNN-temporal, drift, ensembler</w:t>
            </w:r>
          </w:p>
        </w:tc>
      </w:tr>
      <w:tr>
        <w:tc>
          <w:tcPr>
            <w:tcW w:type="dxa" w:w="2016"/>
            <w:shd w:fill="D9E1F2" w:val="clear"/>
            <w:vAlign w:val="center"/>
          </w:tcPr>
          <w:p>
            <w:pPr>
              <w:spacing w:before="40" w:after="40"/>
              <w:jc w:val="center"/>
            </w:pPr>
            <w:r>
              <w:rPr>
                <w:rFonts w:ascii="Times New Roman" w:hAnsi="Times New Roman"/>
                <w:sz w:val="18"/>
              </w:rPr>
              <w:t>C — Aditya</w:t>
            </w:r>
          </w:p>
        </w:tc>
        <w:tc>
          <w:tcPr>
            <w:tcW w:type="dxa" w:w="2592"/>
            <w:shd w:fill="D9E1F2" w:val="clear"/>
            <w:vAlign w:val="center"/>
          </w:tcPr>
          <w:p>
            <w:pPr>
              <w:spacing w:before="40" w:after="40"/>
              <w:jc w:val="left"/>
            </w:pPr>
            <w:r>
              <w:rPr>
                <w:rFonts w:ascii="Times New Roman" w:hAnsi="Times New Roman"/>
                <w:sz w:val="18"/>
              </w:rPr>
              <w:t>Trust &amp; Risk</w:t>
            </w:r>
          </w:p>
        </w:tc>
        <w:tc>
          <w:tcPr>
            <w:tcW w:type="dxa" w:w="4752"/>
            <w:shd w:fill="D9E1F2" w:val="clear"/>
            <w:vAlign w:val="center"/>
          </w:tcPr>
          <w:p>
            <w:pPr>
              <w:spacing w:before="40" w:after="40"/>
              <w:jc w:val="left"/>
            </w:pPr>
            <w:r>
              <w:rPr>
                <w:rFonts w:ascii="Times New Roman" w:hAnsi="Times New Roman"/>
                <w:sz w:val="18"/>
              </w:rPr>
              <w:t>SHAP, UEBA, ATT&amp;CK, privacy pass</w:t>
            </w:r>
          </w:p>
        </w:tc>
      </w:tr>
      <w:tr>
        <w:tc>
          <w:tcPr>
            <w:tcW w:type="dxa" w:w="2016"/>
            <w:shd w:fill="FFFFFF" w:val="clear"/>
            <w:vAlign w:val="center"/>
          </w:tcPr>
          <w:p>
            <w:pPr>
              <w:spacing w:before="40" w:after="40"/>
              <w:jc w:val="center"/>
            </w:pPr>
            <w:r>
              <w:rPr>
                <w:rFonts w:ascii="Times New Roman" w:hAnsi="Times New Roman"/>
                <w:sz w:val="18"/>
              </w:rPr>
              <w:t>D — Avinash</w:t>
            </w:r>
          </w:p>
        </w:tc>
        <w:tc>
          <w:tcPr>
            <w:tcW w:type="dxa" w:w="2592"/>
            <w:shd w:fill="FFFFFF" w:val="clear"/>
            <w:vAlign w:val="center"/>
          </w:tcPr>
          <w:p>
            <w:pPr>
              <w:spacing w:before="40" w:after="40"/>
              <w:jc w:val="left"/>
            </w:pPr>
            <w:r>
              <w:rPr>
                <w:rFonts w:ascii="Times New Roman" w:hAnsi="Times New Roman"/>
                <w:sz w:val="18"/>
              </w:rPr>
              <w:t>Adversarial &amp; Delivery</w:t>
            </w:r>
          </w:p>
        </w:tc>
        <w:tc>
          <w:tcPr>
            <w:tcW w:type="dxa" w:w="4752"/>
            <w:shd w:fill="FFFFFF" w:val="clear"/>
            <w:vAlign w:val="center"/>
          </w:tcPr>
          <w:p>
            <w:pPr>
              <w:spacing w:before="40" w:after="40"/>
              <w:jc w:val="left"/>
            </w:pPr>
            <w:r>
              <w:rPr>
                <w:rFonts w:ascii="Times New Roman" w:hAnsi="Times New Roman"/>
                <w:sz w:val="18"/>
              </w:rPr>
              <w:t>Harness, FastAPI + React dashboard</w:t>
            </w:r>
          </w:p>
        </w:tc>
      </w:tr>
    </w:tbl>
    <w:p>
      <w:pPr>
        <w:spacing w:after="120" w:line="360" w:lineRule="auto"/>
        <w:jc w:val="both"/>
      </w:pPr>
      <w:r>
        <w:rPr>
          <w:rFonts w:ascii="Times New Roman" w:hAnsi="Times New Roman"/>
          <w:b w:val="0"/>
          <w:i w:val="0"/>
          <w:sz w:val="24"/>
        </w:rPr>
        <w:t>In scope (Sem 7): schema mapping, host-graph construction with health gates, v1/v2 features, LogScaler, GraphSAGE ensemble, multi-window rank fusion, edge-level alerts, 4-seed HELD-OUT evaluation, drift/SHAP scaffolding. Out of scope: full UEBA and eBPF host AE (weeks 4–12, Knowledge/). Dataset gate: CICIDS2017 GeneratedLabelledFlows (85 cols, has IPs, latin-1). Synthetic training_data/ excluded — graphs collapse (GOTCHA #6).</w:t>
      </w:r>
    </w:p>
    <w:p>
      <w:pPr>
        <w:spacing w:before="240" w:after="120"/>
      </w:pPr>
      <w:r>
        <w:rPr>
          <w:rFonts w:ascii="Times New Roman" w:hAnsi="Times New Roman"/>
          <w:b/>
          <w:sz w:val="24"/>
        </w:rPr>
        <w:t>1.5  Methodology — Summary</w:t>
      </w:r>
    </w:p>
    <w:p>
      <w:pPr>
        <w:spacing w:after="120" w:line="360" w:lineRule="auto"/>
        <w:jc w:val="both"/>
      </w:pPr>
      <w:r>
        <w:rPr>
          <w:rFonts w:ascii="Times New Roman" w:hAnsi="Times New Roman"/>
          <w:b w:val="0"/>
          <w:i w:val="0"/>
          <w:sz w:val="24"/>
        </w:rPr>
        <w:t>Flows → host graphs per time window (nodes=hosts, edges=directed, graph_builder.py) → GraphSAGE autoencoder trained benign-only (M5b, gnn_model.py, NodeScaler log1p) → multi-window rank noisy-or fusion (M5c, eval_mw_ablation_4seed.py) → edge-level ScoredAlert queue (alert_pipeline.py) with SHAP + drift (M6/M7). Evaluation: HELD-OUT, 7 families, 4 seeds. Detail in Chapter III; design in Chapter IV.</w:t>
      </w:r>
    </w:p>
    <w:p>
      <w:pPr>
        <w:spacing w:before="240" w:after="120"/>
      </w:pPr>
      <w:r>
        <w:rPr>
          <w:rFonts w:ascii="Times New Roman" w:hAnsi="Times New Roman"/>
          <w:b/>
          <w:sz w:val="24"/>
        </w:rPr>
        <w:t>1.6  Organisation of the Report</w:t>
      </w:r>
    </w:p>
    <w:p>
      <w:pPr>
        <w:spacing w:after="120" w:line="360" w:lineRule="auto"/>
        <w:jc w:val="both"/>
      </w:pPr>
      <w:r>
        <w:rPr>
          <w:rFonts w:ascii="Times New Roman" w:hAnsi="Times New Roman"/>
          <w:b w:val="0"/>
          <w:i w:val="0"/>
          <w:sz w:val="24"/>
        </w:rPr>
        <w:t>Chapter I Introduction; Chapter II Review of Literature (presentation 10–15 September); Chapter III Methodology; Chapter IV Design and Modelling; References; Appendices (code, schemas, RC cards). Mirrors sample 1.8 DOCUMENTATION structure (pp. 43-73 and 9-22).</w:t>
      </w:r>
    </w:p>
    <w:p>
      <w:pPr>
        <w:spacing w:before="240" w:after="120"/>
      </w:pPr>
      <w:r>
        <w:rPr>
          <w:rFonts w:ascii="Times New Roman" w:hAnsi="Times New Roman"/>
          <w:b/>
          <w:sz w:val="24"/>
        </w:rPr>
        <w:t>1.7  Expected Outcome</w:t>
      </w:r>
    </w:p>
    <w:p>
      <w:pPr>
        <w:spacing w:before="240" w:after="120"/>
        <w:jc w:val="center"/>
      </w:pPr>
      <w:r>
        <w:rPr>
          <w:rFonts w:ascii="Times New Roman" w:hAnsi="Times New Roman"/>
          <w:b/>
          <w:sz w:val="20"/>
        </w:rPr>
        <w:t>Table 1.3 : Expected headline — week-4 freeze (GPU, CUDA-deterministic, 4 seeds).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880"/>
            <w:vAlign w:val="center"/>
            <w:shd w:fill="2F5597" w:val="clear"/>
          </w:tcPr>
          <w:p>
            <w:pPr>
              <w:spacing w:before="40" w:after="40"/>
              <w:jc w:val="center"/>
            </w:pPr>
            <w:r>
              <w:rPr>
                <w:rFonts w:ascii="Times New Roman" w:hAnsi="Times New Roman"/>
                <w:b/>
                <w:color w:val="FFFFFF"/>
                <w:sz w:val="18"/>
              </w:rPr>
              <w:t>Family</w:t>
            </w:r>
          </w:p>
        </w:tc>
        <w:tc>
          <w:tcPr>
            <w:tcW w:type="dxa" w:w="2160"/>
            <w:vAlign w:val="center"/>
            <w:shd w:fill="2F5597" w:val="clear"/>
          </w:tcPr>
          <w:p>
            <w:pPr>
              <w:spacing w:before="40" w:after="40"/>
              <w:jc w:val="center"/>
            </w:pPr>
            <w:r>
              <w:rPr>
                <w:rFonts w:ascii="Times New Roman" w:hAnsi="Times New Roman"/>
                <w:b/>
                <w:color w:val="FFFFFF"/>
                <w:sz w:val="18"/>
              </w:rPr>
              <w:t>AUC (v2 fused)</w:t>
            </w:r>
          </w:p>
        </w:tc>
        <w:tc>
          <w:tcPr>
            <w:tcW w:type="dxa" w:w="2160"/>
            <w:vAlign w:val="center"/>
            <w:shd w:fill="2F5597" w:val="clear"/>
          </w:tcPr>
          <w:p>
            <w:pPr>
              <w:spacing w:before="40" w:after="40"/>
              <w:jc w:val="center"/>
            </w:pPr>
            <w:r>
              <w:rPr>
                <w:rFonts w:ascii="Times New Roman" w:hAnsi="Times New Roman"/>
                <w:b/>
                <w:color w:val="FFFFFF"/>
                <w:sz w:val="18"/>
              </w:rPr>
              <w:t>Attacker ranks</w:t>
            </w:r>
          </w:p>
        </w:tc>
      </w:tr>
      <w:tr>
        <w:tc>
          <w:tcPr>
            <w:tcW w:type="dxa" w:w="2880"/>
            <w:shd w:fill="D9E1F2" w:val="clear"/>
            <w:vAlign w:val="center"/>
          </w:tcPr>
          <w:p>
            <w:pPr>
              <w:spacing w:before="40" w:after="40"/>
              <w:jc w:val="center"/>
            </w:pPr>
            <w:r>
              <w:rPr>
                <w:rFonts w:ascii="Times New Roman" w:hAnsi="Times New Roman"/>
                <w:sz w:val="18"/>
              </w:rPr>
              <w:t>PortScan / DoS / DDoS</w:t>
            </w:r>
          </w:p>
        </w:tc>
        <w:tc>
          <w:tcPr>
            <w:tcW w:type="dxa" w:w="2160"/>
            <w:shd w:fill="D9E1F2" w:val="clear"/>
            <w:vAlign w:val="center"/>
          </w:tcPr>
          <w:p>
            <w:pPr>
              <w:spacing w:before="40" w:after="40"/>
              <w:jc w:val="left"/>
            </w:pPr>
            <w:r>
              <w:rPr>
                <w:rFonts w:ascii="Times New Roman" w:hAnsi="Times New Roman"/>
                <w:sz w:val="18"/>
              </w:rPr>
              <w:t>0.9999–1.0000</w:t>
            </w:r>
          </w:p>
        </w:tc>
        <w:tc>
          <w:tcPr>
            <w:tcW w:type="dxa" w:w="2160"/>
            <w:shd w:fill="D9E1F2" w:val="clear"/>
            <w:vAlign w:val="center"/>
          </w:tcPr>
          <w:p>
            <w:pPr>
              <w:spacing w:before="40" w:after="40"/>
              <w:jc w:val="left"/>
            </w:pPr>
            <w:r>
              <w:rPr>
                <w:rFonts w:ascii="Times New Roman" w:hAnsi="Times New Roman"/>
                <w:sz w:val="18"/>
              </w:rPr>
              <w:t>1–4</w:t>
            </w:r>
          </w:p>
        </w:tc>
      </w:tr>
      <w:tr>
        <w:tc>
          <w:tcPr>
            <w:tcW w:type="dxa" w:w="2880"/>
            <w:shd w:fill="FFFFFF" w:val="clear"/>
            <w:vAlign w:val="center"/>
          </w:tcPr>
          <w:p>
            <w:pPr>
              <w:spacing w:before="40" w:after="40"/>
              <w:jc w:val="center"/>
            </w:pPr>
            <w:r>
              <w:rPr>
                <w:rFonts w:ascii="Times New Roman" w:hAnsi="Times New Roman"/>
                <w:sz w:val="18"/>
              </w:rPr>
              <w:t>WebAttacks / Patator</w:t>
            </w:r>
          </w:p>
        </w:tc>
        <w:tc>
          <w:tcPr>
            <w:tcW w:type="dxa" w:w="2160"/>
            <w:shd w:fill="FFFFFF" w:val="clear"/>
            <w:vAlign w:val="center"/>
          </w:tcPr>
          <w:p>
            <w:pPr>
              <w:spacing w:before="40" w:after="40"/>
              <w:jc w:val="left"/>
            </w:pPr>
            <w:r>
              <w:rPr>
                <w:rFonts w:ascii="Times New Roman" w:hAnsi="Times New Roman"/>
                <w:sz w:val="18"/>
              </w:rPr>
              <w:t>1.0000</w:t>
            </w:r>
          </w:p>
        </w:tc>
        <w:tc>
          <w:tcPr>
            <w:tcW w:type="dxa" w:w="2160"/>
            <w:shd w:fill="FFFFFF" w:val="clear"/>
            <w:vAlign w:val="center"/>
          </w:tcPr>
          <w:p>
            <w:pPr>
              <w:spacing w:before="40" w:after="40"/>
              <w:jc w:val="left"/>
            </w:pPr>
            <w:r>
              <w:rPr>
                <w:rFonts w:ascii="Times New Roman" w:hAnsi="Times New Roman"/>
                <w:sz w:val="18"/>
              </w:rPr>
              <w:t>1–5</w:t>
            </w:r>
          </w:p>
        </w:tc>
      </w:tr>
      <w:tr>
        <w:tc>
          <w:tcPr>
            <w:tcW w:type="dxa" w:w="2880"/>
            <w:shd w:fill="D9E1F2" w:val="clear"/>
            <w:vAlign w:val="center"/>
          </w:tcPr>
          <w:p>
            <w:pPr>
              <w:spacing w:before="40" w:after="40"/>
              <w:jc w:val="center"/>
            </w:pPr>
            <w:r>
              <w:rPr>
                <w:rFonts w:ascii="Times New Roman" w:hAnsi="Times New Roman"/>
                <w:sz w:val="18"/>
              </w:rPr>
              <w:t>Infiltration</w:t>
            </w:r>
          </w:p>
        </w:tc>
        <w:tc>
          <w:tcPr>
            <w:tcW w:type="dxa" w:w="2160"/>
            <w:shd w:fill="D9E1F2" w:val="clear"/>
            <w:vAlign w:val="center"/>
          </w:tcPr>
          <w:p>
            <w:pPr>
              <w:spacing w:before="40" w:after="40"/>
              <w:jc w:val="left"/>
            </w:pPr>
            <w:r>
              <w:rPr>
                <w:rFonts w:ascii="Times New Roman" w:hAnsi="Times New Roman"/>
                <w:sz w:val="18"/>
              </w:rPr>
              <w:t>0.9997</w:t>
            </w:r>
          </w:p>
        </w:tc>
        <w:tc>
          <w:tcPr>
            <w:tcW w:type="dxa" w:w="2160"/>
            <w:shd w:fill="D9E1F2" w:val="clear"/>
            <w:vAlign w:val="center"/>
          </w:tcPr>
          <w:p>
            <w:pPr>
              <w:spacing w:before="40" w:after="40"/>
              <w:jc w:val="left"/>
            </w:pPr>
            <w:r>
              <w:rPr>
                <w:rFonts w:ascii="Times New Roman" w:hAnsi="Times New Roman"/>
                <w:sz w:val="18"/>
              </w:rPr>
              <w:t>2</w:t>
            </w:r>
          </w:p>
        </w:tc>
      </w:tr>
      <w:tr>
        <w:tc>
          <w:tcPr>
            <w:tcW w:type="dxa" w:w="2880"/>
            <w:shd w:fill="FFFFFF" w:val="clear"/>
            <w:vAlign w:val="center"/>
          </w:tcPr>
          <w:p>
            <w:pPr>
              <w:spacing w:before="40" w:after="40"/>
              <w:jc w:val="center"/>
            </w:pPr>
            <w:r>
              <w:rPr>
                <w:rFonts w:ascii="Times New Roman" w:hAnsi="Times New Roman"/>
                <w:sz w:val="18"/>
              </w:rPr>
              <w:t>Botnet</w:t>
            </w:r>
          </w:p>
        </w:tc>
        <w:tc>
          <w:tcPr>
            <w:tcW w:type="dxa" w:w="2160"/>
            <w:shd w:fill="FFFFFF" w:val="clear"/>
            <w:vAlign w:val="center"/>
          </w:tcPr>
          <w:p>
            <w:pPr>
              <w:spacing w:before="40" w:after="40"/>
              <w:jc w:val="left"/>
            </w:pPr>
            <w:r>
              <w:rPr>
                <w:rFonts w:ascii="Times New Roman" w:hAnsi="Times New Roman"/>
                <w:sz w:val="18"/>
              </w:rPr>
              <w:t>0.9987</w:t>
            </w:r>
          </w:p>
        </w:tc>
        <w:tc>
          <w:tcPr>
            <w:tcW w:type="dxa" w:w="2160"/>
            <w:shd w:fill="FFFFFF" w:val="clear"/>
            <w:vAlign w:val="center"/>
          </w:tcPr>
          <w:p>
            <w:pPr>
              <w:spacing w:before="40" w:after="40"/>
              <w:jc w:val="left"/>
            </w:pPr>
            <w:r>
              <w:rPr>
                <w:rFonts w:ascii="Times New Roman" w:hAnsi="Times New Roman"/>
                <w:sz w:val="18"/>
              </w:rPr>
              <w:t>5–34</w:t>
            </w:r>
          </w:p>
        </w:tc>
      </w:tr>
    </w:tbl>
    <w:p>
      <w:pPr>
        <w:spacing w:after="120"/>
      </w:pPr>
      <w:r>
        <w:rPr>
          <w:rFonts w:ascii="Times New Roman" w:hAnsi="Times New Roman"/>
          <w:i/>
          <w:sz w:val="16"/>
        </w:rPr>
        <w:t>Source: eval_mw_ablation_4seed.py --seeds 0 1 2 3; eval_feature_set_v2.py</w:t>
      </w:r>
    </w:p>
    <w:p>
      <w:pPr>
        <w:spacing w:after="120" w:line="360" w:lineRule="auto"/>
        <w:jc w:val="both"/>
      </w:pPr>
      <w:r>
        <w:rPr>
          <w:rFonts w:ascii="Times New Roman" w:hAnsi="Times New Roman"/>
          <w:b w:val="0"/>
          <w:i/>
          <w:sz w:val="22"/>
        </w:rPr>
        <w:t>Mean ROC-AUC 0.9996±0.0001 (v1) / 0.9997±0.0001 (v2) across 7 held-out families; every attacker in top ~35 of thousands on CICIDS2017, top-11/32,935 on IDS2018 (3/4 seeds), CTU-13 Virut #1 in 4/4 seeds; recall@100=1.0; evasion needs 20× time or 16 machines.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