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jc w:val="center"/>
      </w:pPr>
      <w:r>
        <w:rPr>
          <w:rFonts w:ascii="Times New Roman" w:hAnsi="Times New Roman"/>
          <w:b/>
          <w:sz w:val="28"/>
        </w:rPr>
        <w:t>CHAPTER II</w:t>
      </w:r>
    </w:p>
    <w:p>
      <w:pPr>
        <w:spacing w:before="40" w:after="240"/>
        <w:jc w:val="center"/>
      </w:pPr>
      <w:r>
        <w:rPr>
          <w:rFonts w:ascii="Times New Roman" w:hAnsi="Times New Roman"/>
          <w:b/>
          <w:sz w:val="28"/>
        </w:rPr>
        <w:t>REVIEW OF LITERATURE</w:t>
      </w:r>
    </w:p>
    <w:p>
      <w:pPr>
        <w:spacing w:before="240" w:after="120"/>
      </w:pPr>
      <w:r>
        <w:rPr>
          <w:rFonts w:ascii="Times New Roman" w:hAnsi="Times New Roman"/>
          <w:b/>
          <w:sz w:val="24"/>
        </w:rPr>
        <w:t>2.0  Introduction</w:t>
      </w:r>
    </w:p>
    <w:p>
      <w:pPr>
        <w:spacing w:after="120" w:line="360" w:lineRule="auto"/>
        <w:jc w:val="both"/>
      </w:pPr>
      <w:r>
        <w:rPr>
          <w:rFonts w:ascii="Times New Roman" w:hAnsi="Times New Roman"/>
          <w:b w:val="0"/>
          <w:i w:val="0"/>
          <w:sz w:val="24"/>
        </w:rPr>
        <w:t>This chapter presents a review of related literature relevant to the present study — drift-aware explainable anomaly detection for zero-day behavioural threat hunting. The review, in general, provides an overview of the theory and the research literature, with a special emphasis on the literature specific to the topic of investigation. It provides support to the proposition of one’s research, with ample evidences drawn from subject experts and authorities in the concerned field. The sources consulted for the review of literature here include primary periodicals, secondary databases, conference proceedings, technical reports, web resources and books published from both India and abroad.</w:t>
      </w:r>
    </w:p>
    <w:p>
      <w:pPr>
        <w:spacing w:after="120" w:line="360" w:lineRule="auto"/>
        <w:jc w:val="both"/>
      </w:pPr>
      <w:r>
        <w:rPr>
          <w:rFonts w:ascii="Times New Roman" w:hAnsi="Times New Roman"/>
          <w:b w:val="0"/>
          <w:i w:val="0"/>
          <w:sz w:val="24"/>
        </w:rPr>
        <w:t>Literature relevant to unsupervised network anomaly detection, flow-based feature engineering, graph representation of communication structure, multi-scale fusion and operational evaluation besides general approach studies through metric indicators are categorized and provided under headings as follows:</w:t>
      </w:r>
    </w:p>
    <w:p>
      <w:pPr>
        <w:pStyle w:val="ListBullet"/>
        <w:spacing w:after="40"/>
        <w:ind w:left="432"/>
      </w:pPr>
      <w:r>
        <w:rPr>
          <w:rFonts w:ascii="Times New Roman" w:hAnsi="Times New Roman"/>
          <w:sz w:val="24"/>
        </w:rPr>
        <w:t>1.  General — definitions and scope</w:t>
      </w:r>
    </w:p>
    <w:p>
      <w:pPr>
        <w:pStyle w:val="ListBullet"/>
        <w:spacing w:after="40"/>
        <w:ind w:left="432"/>
      </w:pPr>
      <w:r>
        <w:rPr>
          <w:rFonts w:ascii="Times New Roman" w:hAnsi="Times New Roman"/>
          <w:sz w:val="24"/>
        </w:rPr>
        <w:t>2.  Mapping studies on Intrusion Detection taxonomies</w:t>
      </w:r>
    </w:p>
    <w:p>
      <w:pPr>
        <w:pStyle w:val="ListBullet"/>
        <w:spacing w:after="40"/>
        <w:ind w:left="432"/>
      </w:pPr>
      <w:r>
        <w:rPr>
          <w:rFonts w:ascii="Times New Roman" w:hAnsi="Times New Roman"/>
          <w:sz w:val="24"/>
        </w:rPr>
        <w:t>3.  Flow-based features and benchmark datasets</w:t>
      </w:r>
    </w:p>
    <w:p>
      <w:pPr>
        <w:pStyle w:val="ListBullet"/>
        <w:spacing w:after="40"/>
        <w:ind w:left="432"/>
      </w:pPr>
      <w:r>
        <w:rPr>
          <w:rFonts w:ascii="Times New Roman" w:hAnsi="Times New Roman"/>
          <w:sz w:val="24"/>
        </w:rPr>
        <w:t>4.  Reconstruction-based anomaly detection and metric indicators</w:t>
      </w:r>
    </w:p>
    <w:p>
      <w:pPr>
        <w:pStyle w:val="ListBullet"/>
        <w:spacing w:after="40"/>
        <w:ind w:left="432"/>
      </w:pPr>
      <w:r>
        <w:rPr>
          <w:rFonts w:ascii="Times New Roman" w:hAnsi="Times New Roman"/>
          <w:sz w:val="24"/>
        </w:rPr>
        <w:t>5.  Graph-based and relational detection — authorship and collaboration patterns</w:t>
      </w:r>
    </w:p>
    <w:p>
      <w:pPr>
        <w:pStyle w:val="ListBullet"/>
        <w:spacing w:after="40"/>
        <w:ind w:left="432"/>
      </w:pPr>
      <w:r>
        <w:rPr>
          <w:rFonts w:ascii="Times New Roman" w:hAnsi="Times New Roman"/>
          <w:sz w:val="24"/>
        </w:rPr>
        <w:t>6.  Evaluative studies — including Indian research performance</w:t>
      </w:r>
    </w:p>
    <w:p>
      <w:pPr>
        <w:pStyle w:val="ListBullet"/>
        <w:spacing w:after="40"/>
        <w:ind w:left="432"/>
      </w:pPr>
      <w:r>
        <w:rPr>
          <w:rFonts w:ascii="Times New Roman" w:hAnsi="Times New Roman"/>
          <w:sz w:val="24"/>
        </w:rPr>
        <w:t>7.  Global and Indian scenario — policies and regulations</w:t>
      </w:r>
    </w:p>
    <w:p>
      <w:pPr>
        <w:pStyle w:val="ListBullet"/>
        <w:spacing w:after="40"/>
        <w:ind w:left="432"/>
      </w:pPr>
      <w:r>
        <w:rPr>
          <w:rFonts w:ascii="Times New Roman" w:hAnsi="Times New Roman"/>
          <w:sz w:val="24"/>
        </w:rPr>
        <w:t>8.  Summary</w:t>
      </w:r>
    </w:p>
    <w:p>
      <w:pPr>
        <w:spacing w:after="120" w:line="360" w:lineRule="auto"/>
        <w:jc w:val="both"/>
      </w:pPr>
      <w:r>
        <w:rPr>
          <w:rFonts w:ascii="Times New Roman" w:hAnsi="Times New Roman"/>
          <w:b w:val="0"/>
          <w:i w:val="0"/>
          <w:sz w:val="24"/>
        </w:rPr>
        <w:t>The above grouping is only a broader categorization with fuzzy boundaries between them as every study includes more than a single indicator. The contents of documents belong to either detection-theoretic or system-evaluation studies with a difference in the subject of the literature treated and choice of indicators. Anyhow, the categorization in this chapter has been made, based on the set of results projected as major findings by the investigator(s) in their studies.</w:t>
      </w:r>
    </w:p>
    <w:p>
      <w:pPr>
        <w:spacing w:before="240" w:after="120"/>
      </w:pPr>
      <w:r>
        <w:rPr>
          <w:rFonts w:ascii="Times New Roman" w:hAnsi="Times New Roman"/>
          <w:b/>
          <w:sz w:val="24"/>
        </w:rPr>
        <w:t>2.1  General</w:t>
      </w:r>
    </w:p>
    <w:p>
      <w:pPr>
        <w:spacing w:after="120" w:line="360" w:lineRule="auto"/>
        <w:jc w:val="both"/>
      </w:pPr>
      <w:r>
        <w:rPr>
          <w:rFonts w:ascii="Times New Roman" w:hAnsi="Times New Roman"/>
          <w:b w:val="0"/>
          <w:i w:val="0"/>
          <w:sz w:val="24"/>
        </w:rPr>
        <w:t>The zero-day has been defined as “a vulnerability in software or hardware that is unknown to the vendor and for which no patch or signature exists at the time of exploitation” (NIST SP 800-150). Whereas an intrusion detection system has been defined as “a system that monitors network or host activity for signs of malicious behaviour or policy violation and produces reports to a management station” (Debar et al.). According to the OECD and NIST CSF any appliance or software that processes network communications and has reached a state where its behaviour deviates from learned normality would come under anomalous behaviour. Globally, NIDS/NADS are the most commonly used terms for network defence. However, technically, zero-day detection is only a subset of anomaly detection applied to network and host behaviour.</w:t>
      </w:r>
    </w:p>
    <w:p>
      <w:pPr>
        <w:spacing w:after="120" w:line="360" w:lineRule="auto"/>
        <w:jc w:val="both"/>
      </w:pPr>
      <w:r>
        <w:rPr>
          <w:rFonts w:ascii="Times New Roman" w:hAnsi="Times New Roman"/>
          <w:b w:val="0"/>
          <w:i w:val="0"/>
          <w:sz w:val="24"/>
        </w:rPr>
        <w:t>In the recent years, there has been increasing use and dependence on networked gadgets like mobile phones, IoT sensors, cloud servers, data storage devices and industrial control, etc. resulting in generation of large quantities of network telemetry. The high rate of obsolescence of attack signatures coupled with steady rise in demand for detection has also resulted in substantial growth in anomaly-based literature. There is no comprehensive and latest inventory of zero-day attacks in the wild; however, as per preliminary estimates, the annual generation of new CVEs exceeded 20,000 during 2023-24 (MITRE). A VERIZON DBIR report estimates that the global cost of cyber-crime is around 8-10 Trillion USD per annum. The network flow (NetFlow/IPFIX 5-tuple + statistics) contains valuable signals; if mishandled and attempts are made for detection in an un-scientific manner or if evaluation is done without calibration, then it causes false alarms and damage to trust.</w:t>
      </w:r>
    </w:p>
    <w:p>
      <w:pPr>
        <w:spacing w:before="240" w:after="120"/>
      </w:pPr>
      <w:r>
        <w:rPr>
          <w:rFonts w:ascii="Times New Roman" w:hAnsi="Times New Roman"/>
          <w:b/>
          <w:sz w:val="24"/>
        </w:rPr>
        <w:t>2.2  Mapping Studies on Intrusion Detection Taxonomies</w:t>
      </w:r>
    </w:p>
    <w:p>
      <w:pPr>
        <w:spacing w:after="120" w:line="360" w:lineRule="auto"/>
        <w:jc w:val="both"/>
      </w:pPr>
      <w:r>
        <w:rPr>
          <w:rFonts w:ascii="Times New Roman" w:hAnsi="Times New Roman"/>
          <w:b/>
          <w:sz w:val="24"/>
        </w:rPr>
        <w:t xml:space="preserve">Debar et al. </w:t>
      </w:r>
      <w:r>
        <w:rPr>
          <w:rFonts w:ascii="Times New Roman" w:hAnsi="Times New Roman"/>
          <w:b/>
          <w:sz w:val="16"/>
          <w:vertAlign w:val="superscript"/>
        </w:rPr>
        <w:t xml:space="preserve"> 1,2</w:t>
      </w:r>
      <w:r>
        <w:rPr>
          <w:rFonts w:ascii="Times New Roman" w:hAnsi="Times New Roman"/>
          <w:sz w:val="24"/>
        </w:rPr>
        <w:t xml:space="preserve"> (1999) and Axelsson (2000) presented the earliest IDS taxonomies distinguishing misuse (signature) from anomaly (behaviour) and from specification-based detection. Signature systems, by definition, cannot detect families absent from training — a premise that motivates the present unsupervised study.</w:t>
      </w:r>
    </w:p>
    <w:p>
      <w:pPr>
        <w:spacing w:after="120" w:line="360" w:lineRule="auto"/>
        <w:jc w:val="both"/>
      </w:pPr>
      <w:r>
        <w:rPr>
          <w:rFonts w:ascii="Times New Roman" w:hAnsi="Times New Roman"/>
          <w:b/>
          <w:sz w:val="24"/>
        </w:rPr>
        <w:t xml:space="preserve">Chandola et al. </w:t>
      </w:r>
      <w:r>
        <w:rPr>
          <w:rFonts w:ascii="Times New Roman" w:hAnsi="Times New Roman"/>
          <w:b/>
          <w:sz w:val="16"/>
          <w:vertAlign w:val="superscript"/>
        </w:rPr>
        <w:t xml:space="preserve"> 3</w:t>
      </w:r>
      <w:r>
        <w:rPr>
          <w:rFonts w:ascii="Times New Roman" w:hAnsi="Times New Roman"/>
          <w:sz w:val="24"/>
        </w:rPr>
        <w:t xml:space="preserve"> (2009) presented a review of anomaly detection surveying point, contextual and collective anomalies across domains. Network intrusions were characterised as collective: a single flow rarely defines an attack; the pattern of flows from a host within a time window does.</w:t>
      </w:r>
    </w:p>
    <w:p>
      <w:pPr>
        <w:spacing w:after="120" w:line="360" w:lineRule="auto"/>
        <w:jc w:val="both"/>
      </w:pPr>
      <w:r>
        <w:rPr>
          <w:rFonts w:ascii="Times New Roman" w:hAnsi="Times New Roman"/>
          <w:b/>
          <w:sz w:val="24"/>
        </w:rPr>
        <w:t xml:space="preserve">Garcia-Teodoro et al. </w:t>
      </w:r>
      <w:r>
        <w:rPr>
          <w:rFonts w:ascii="Times New Roman" w:hAnsi="Times New Roman"/>
          <w:b/>
          <w:sz w:val="16"/>
          <w:vertAlign w:val="superscript"/>
        </w:rPr>
        <w:t xml:space="preserve"> 4</w:t>
      </w:r>
      <w:r>
        <w:rPr>
          <w:rFonts w:ascii="Times New Roman" w:hAnsi="Times New Roman"/>
          <w:sz w:val="24"/>
        </w:rPr>
        <w:t xml:space="preserve"> (2009) analyzed the state of the art of anomaly NIDS and characterized its application-oriented tradition, noting that many proposals reported accuracy on imbalanced data without held-out evaluation.</w:t>
      </w:r>
    </w:p>
    <w:p>
      <w:pPr>
        <w:spacing w:after="120" w:line="360" w:lineRule="auto"/>
        <w:jc w:val="both"/>
      </w:pPr>
      <w:r>
        <w:rPr>
          <w:rFonts w:ascii="Times New Roman" w:hAnsi="Times New Roman"/>
          <w:b/>
          <w:sz w:val="24"/>
        </w:rPr>
        <w:t xml:space="preserve">Bhuyan et al. </w:t>
      </w:r>
      <w:r>
        <w:rPr>
          <w:rFonts w:ascii="Times New Roman" w:hAnsi="Times New Roman"/>
          <w:b/>
          <w:sz w:val="16"/>
          <w:vertAlign w:val="superscript"/>
        </w:rPr>
        <w:t xml:space="preserve"> 5</w:t>
      </w:r>
      <w:r>
        <w:rPr>
          <w:rFonts w:ascii="Times New Roman" w:hAnsi="Times New Roman"/>
          <w:sz w:val="24"/>
        </w:rPr>
        <w:t xml:space="preserve"> (2014) undertook a study retrieving 1,062 articles, generating maps of journal co-citation and direct citation links among countries. Top-ranked methods included clustering, statistical and knowledge-based detection.</w:t>
      </w:r>
    </w:p>
    <w:p>
      <w:pPr>
        <w:spacing w:after="120" w:line="360" w:lineRule="auto"/>
        <w:jc w:val="both"/>
      </w:pPr>
      <w:r>
        <w:rPr>
          <w:rFonts w:ascii="Times New Roman" w:hAnsi="Times New Roman"/>
          <w:b/>
          <w:sz w:val="24"/>
        </w:rPr>
        <w:t xml:space="preserve">Sommer &amp; Paxson </w:t>
      </w:r>
      <w:r>
        <w:rPr>
          <w:rFonts w:ascii="Times New Roman" w:hAnsi="Times New Roman"/>
          <w:b/>
          <w:sz w:val="16"/>
          <w:vertAlign w:val="superscript"/>
        </w:rPr>
        <w:t xml:space="preserve"> 6</w:t>
      </w:r>
      <w:r>
        <w:rPr>
          <w:rFonts w:ascii="Times New Roman" w:hAnsi="Times New Roman"/>
          <w:sz w:val="24"/>
        </w:rPr>
        <w:t xml:space="preserve"> (2010) identified challenges and suggested that: “the state of the art is ‘pre-paradigmatic:’ it is an interdisciplinary area integrated only at the level of its subject matter — the closed-world assumption collapses outside the lab.” This study forms the justification for our held-out-family protocol (&gt;2,800 citations).</w:t>
      </w:r>
    </w:p>
    <w:p>
      <w:pPr>
        <w:spacing w:after="120" w:line="360" w:lineRule="auto"/>
        <w:jc w:val="both"/>
      </w:pPr>
      <w:r>
        <w:rPr>
          <w:rFonts w:ascii="Times New Roman" w:hAnsi="Times New Roman"/>
          <w:b/>
          <w:sz w:val="24"/>
        </w:rPr>
        <w:t xml:space="preserve">Lashkari et al. (CIC) </w:t>
      </w:r>
      <w:r>
        <w:rPr>
          <w:rFonts w:ascii="Times New Roman" w:hAnsi="Times New Roman"/>
          <w:b/>
          <w:sz w:val="16"/>
          <w:vertAlign w:val="superscript"/>
        </w:rPr>
        <w:t xml:space="preserve"> 9</w:t>
      </w:r>
      <w:r>
        <w:rPr>
          <w:rFonts w:ascii="Times New Roman" w:hAnsi="Times New Roman"/>
          <w:sz w:val="24"/>
        </w:rPr>
        <w:t xml:space="preserve"> (2017) while commenting on CICFlowMeter, stated that it nurtured the field substantially with its 80+ per-flow statistics encompassing packet-length statistics, inter-arrival times and flag counts.</w:t>
      </w:r>
    </w:p>
    <w:p>
      <w:pPr>
        <w:spacing w:after="120" w:before="240"/>
        <w:jc w:val="center"/>
      </w:pPr>
      <w:r>
        <w:rPr>
          <w:rFonts w:ascii="Times New Roman" w:hAnsi="Times New Roman"/>
          <w:b/>
          <w:sz w:val="20"/>
        </w:rPr>
        <w:t>Table 2.1 : IDS taxonomy and its impact on zero-day capability.</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c>
          <w:tcPr>
            <w:tcW w:type="dxa" w:w="864"/>
            <w:vAlign w:val="center"/>
            <w:shd w:fill="2F5597" w:val="clear"/>
          </w:tcPr>
          <w:p>
            <w:pPr>
              <w:spacing w:before="40" w:after="40"/>
              <w:jc w:val="center"/>
            </w:pPr>
            <w:r>
              <w:rPr>
                <w:rFonts w:ascii="Times New Roman" w:hAnsi="Times New Roman"/>
                <w:b/>
                <w:color w:val="FFFFFF"/>
                <w:sz w:val="18"/>
              </w:rPr>
              <w:t>Sl No</w:t>
            </w:r>
          </w:p>
        </w:tc>
        <w:tc>
          <w:tcPr>
            <w:tcW w:type="dxa" w:w="2160"/>
            <w:vAlign w:val="center"/>
            <w:shd w:fill="2F5597" w:val="clear"/>
          </w:tcPr>
          <w:p>
            <w:pPr>
              <w:spacing w:before="40" w:after="40"/>
              <w:jc w:val="center"/>
            </w:pPr>
            <w:r>
              <w:rPr>
                <w:rFonts w:ascii="Times New Roman" w:hAnsi="Times New Roman"/>
                <w:b/>
                <w:color w:val="FFFFFF"/>
                <w:sz w:val="18"/>
              </w:rPr>
              <w:t>Paradigm</w:t>
            </w:r>
          </w:p>
        </w:tc>
        <w:tc>
          <w:tcPr>
            <w:tcW w:type="dxa" w:w="2592"/>
            <w:vAlign w:val="center"/>
            <w:shd w:fill="2F5597" w:val="clear"/>
          </w:tcPr>
          <w:p>
            <w:pPr>
              <w:spacing w:before="40" w:after="40"/>
              <w:jc w:val="center"/>
            </w:pPr>
            <w:r>
              <w:rPr>
                <w:rFonts w:ascii="Times New Roman" w:hAnsi="Times New Roman"/>
                <w:b/>
                <w:color w:val="FFFFFF"/>
                <w:sz w:val="18"/>
              </w:rPr>
              <w:t>Representative work</w:t>
            </w:r>
          </w:p>
        </w:tc>
        <w:tc>
          <w:tcPr>
            <w:tcW w:type="dxa" w:w="3744"/>
            <w:vAlign w:val="center"/>
            <w:shd w:fill="2F5597" w:val="clear"/>
          </w:tcPr>
          <w:p>
            <w:pPr>
              <w:spacing w:before="40" w:after="40"/>
              <w:jc w:val="center"/>
            </w:pPr>
            <w:r>
              <w:rPr>
                <w:rFonts w:ascii="Times New Roman" w:hAnsi="Times New Roman"/>
                <w:b/>
                <w:color w:val="FFFFFF"/>
                <w:sz w:val="18"/>
              </w:rPr>
              <w:t>Impact on zero-day capability</w:t>
            </w:r>
          </w:p>
        </w:tc>
      </w:tr>
      <w:tr>
        <w:tc>
          <w:tcPr>
            <w:tcW w:type="dxa" w:w="864"/>
            <w:shd w:fill="D9E1F2" w:val="clear"/>
            <w:vAlign w:val="center"/>
          </w:tcPr>
          <w:p>
            <w:pPr>
              <w:spacing w:before="40" w:after="40"/>
              <w:jc w:val="center"/>
            </w:pPr>
            <w:r>
              <w:rPr>
                <w:rFonts w:ascii="Times New Roman" w:hAnsi="Times New Roman"/>
                <w:sz w:val="18"/>
              </w:rPr>
              <w:t>1</w:t>
            </w:r>
          </w:p>
        </w:tc>
        <w:tc>
          <w:tcPr>
            <w:tcW w:type="dxa" w:w="2160"/>
            <w:shd w:fill="D9E1F2" w:val="clear"/>
            <w:vAlign w:val="center"/>
          </w:tcPr>
          <w:p>
            <w:pPr>
              <w:spacing w:before="40" w:after="40"/>
              <w:jc w:val="left"/>
            </w:pPr>
            <w:r>
              <w:rPr>
                <w:rFonts w:ascii="Times New Roman" w:hAnsi="Times New Roman"/>
                <w:sz w:val="18"/>
              </w:rPr>
              <w:t>Signature / misuse</w:t>
            </w:r>
          </w:p>
        </w:tc>
        <w:tc>
          <w:tcPr>
            <w:tcW w:type="dxa" w:w="2592"/>
            <w:shd w:fill="D9E1F2" w:val="clear"/>
            <w:vAlign w:val="center"/>
          </w:tcPr>
          <w:p>
            <w:pPr>
              <w:spacing w:before="40" w:after="40"/>
              <w:jc w:val="left"/>
            </w:pPr>
            <w:r>
              <w:rPr>
                <w:rFonts w:ascii="Times New Roman" w:hAnsi="Times New Roman"/>
                <w:sz w:val="18"/>
              </w:rPr>
              <w:t>Debar et al. (1999), Axelsson (2000)</w:t>
            </w:r>
          </w:p>
        </w:tc>
        <w:tc>
          <w:tcPr>
            <w:tcW w:type="dxa" w:w="3744"/>
            <w:shd w:fill="D9E1F2" w:val="clear"/>
            <w:vAlign w:val="center"/>
          </w:tcPr>
          <w:p>
            <w:pPr>
              <w:spacing w:before="40" w:after="40"/>
              <w:jc w:val="left"/>
            </w:pPr>
            <w:r>
              <w:rPr>
                <w:rFonts w:ascii="Times New Roman" w:hAnsi="Times New Roman"/>
                <w:sz w:val="18"/>
              </w:rPr>
              <w:t>High precision but fatal on unseen families; cannot detect zero-day by definition.</w:t>
            </w:r>
          </w:p>
        </w:tc>
      </w:tr>
      <w:tr>
        <w:tc>
          <w:tcPr>
            <w:tcW w:type="dxa" w:w="864"/>
            <w:shd w:fill="FFFFFF" w:val="clear"/>
            <w:vAlign w:val="center"/>
          </w:tcPr>
          <w:p>
            <w:pPr>
              <w:spacing w:before="40" w:after="40"/>
              <w:jc w:val="center"/>
            </w:pPr>
            <w:r>
              <w:rPr>
                <w:rFonts w:ascii="Times New Roman" w:hAnsi="Times New Roman"/>
                <w:sz w:val="18"/>
              </w:rPr>
              <w:t>2</w:t>
            </w:r>
          </w:p>
        </w:tc>
        <w:tc>
          <w:tcPr>
            <w:tcW w:type="dxa" w:w="2160"/>
            <w:shd w:fill="FFFFFF" w:val="clear"/>
            <w:vAlign w:val="center"/>
          </w:tcPr>
          <w:p>
            <w:pPr>
              <w:spacing w:before="40" w:after="40"/>
              <w:jc w:val="left"/>
            </w:pPr>
            <w:r>
              <w:rPr>
                <w:rFonts w:ascii="Times New Roman" w:hAnsi="Times New Roman"/>
                <w:sz w:val="18"/>
              </w:rPr>
              <w:t>Anomaly — statistical</w:t>
            </w:r>
          </w:p>
        </w:tc>
        <w:tc>
          <w:tcPr>
            <w:tcW w:type="dxa" w:w="2592"/>
            <w:shd w:fill="FFFFFF" w:val="clear"/>
            <w:vAlign w:val="center"/>
          </w:tcPr>
          <w:p>
            <w:pPr>
              <w:spacing w:before="40" w:after="40"/>
              <w:jc w:val="left"/>
            </w:pPr>
            <w:r>
              <w:rPr>
                <w:rFonts w:ascii="Times New Roman" w:hAnsi="Times New Roman"/>
                <w:sz w:val="18"/>
              </w:rPr>
              <w:t>Chandola (2009), Hodge (2004)</w:t>
            </w:r>
          </w:p>
        </w:tc>
        <w:tc>
          <w:tcPr>
            <w:tcW w:type="dxa" w:w="3744"/>
            <w:shd w:fill="FFFFFF" w:val="clear"/>
            <w:vAlign w:val="center"/>
          </w:tcPr>
          <w:p>
            <w:pPr>
              <w:spacing w:before="40" w:after="40"/>
              <w:jc w:val="left"/>
            </w:pPr>
            <w:r>
              <w:rPr>
                <w:rFonts w:ascii="Times New Roman" w:hAnsi="Times New Roman"/>
                <w:sz w:val="18"/>
              </w:rPr>
              <w:t>Assumes stationarity; thresholds become brittle.</w:t>
            </w:r>
          </w:p>
        </w:tc>
      </w:tr>
      <w:tr>
        <w:tc>
          <w:tcPr>
            <w:tcW w:type="dxa" w:w="864"/>
            <w:shd w:fill="D9E1F2" w:val="clear"/>
            <w:vAlign w:val="center"/>
          </w:tcPr>
          <w:p>
            <w:pPr>
              <w:spacing w:before="40" w:after="40"/>
              <w:jc w:val="center"/>
            </w:pPr>
            <w:r>
              <w:rPr>
                <w:rFonts w:ascii="Times New Roman" w:hAnsi="Times New Roman"/>
                <w:sz w:val="18"/>
              </w:rPr>
              <w:t>3</w:t>
            </w:r>
          </w:p>
        </w:tc>
        <w:tc>
          <w:tcPr>
            <w:tcW w:type="dxa" w:w="2160"/>
            <w:shd w:fill="D9E1F2" w:val="clear"/>
            <w:vAlign w:val="center"/>
          </w:tcPr>
          <w:p>
            <w:pPr>
              <w:spacing w:before="40" w:after="40"/>
              <w:jc w:val="left"/>
            </w:pPr>
            <w:r>
              <w:rPr>
                <w:rFonts w:ascii="Times New Roman" w:hAnsi="Times New Roman"/>
                <w:sz w:val="18"/>
              </w:rPr>
              <w:t>Anomaly — ML shallow</w:t>
            </w:r>
          </w:p>
        </w:tc>
        <w:tc>
          <w:tcPr>
            <w:tcW w:type="dxa" w:w="2592"/>
            <w:shd w:fill="D9E1F2" w:val="clear"/>
            <w:vAlign w:val="center"/>
          </w:tcPr>
          <w:p>
            <w:pPr>
              <w:spacing w:before="40" w:after="40"/>
              <w:jc w:val="left"/>
            </w:pPr>
            <w:r>
              <w:rPr>
                <w:rFonts w:ascii="Times New Roman" w:hAnsi="Times New Roman"/>
                <w:sz w:val="18"/>
              </w:rPr>
              <w:t>Bhuyan (2014), Patcha (2007)</w:t>
            </w:r>
          </w:p>
        </w:tc>
        <w:tc>
          <w:tcPr>
            <w:tcW w:type="dxa" w:w="3744"/>
            <w:shd w:fill="D9E1F2" w:val="clear"/>
            <w:vAlign w:val="center"/>
          </w:tcPr>
          <w:p>
            <w:pPr>
              <w:spacing w:before="40" w:after="40"/>
              <w:jc w:val="left"/>
            </w:pPr>
            <w:r>
              <w:rPr>
                <w:rFonts w:ascii="Times New Roman" w:hAnsi="Times New Roman"/>
                <w:sz w:val="18"/>
              </w:rPr>
              <w:t>Brittle splits; validation leakage produces optimistic AUC.</w:t>
            </w:r>
          </w:p>
        </w:tc>
      </w:tr>
      <w:tr>
        <w:tc>
          <w:tcPr>
            <w:tcW w:type="dxa" w:w="864"/>
            <w:shd w:fill="FFFFFF" w:val="clear"/>
            <w:vAlign w:val="center"/>
          </w:tcPr>
          <w:p>
            <w:pPr>
              <w:spacing w:before="40" w:after="40"/>
              <w:jc w:val="center"/>
            </w:pPr>
            <w:r>
              <w:rPr>
                <w:rFonts w:ascii="Times New Roman" w:hAnsi="Times New Roman"/>
                <w:sz w:val="18"/>
              </w:rPr>
              <w:t>4</w:t>
            </w:r>
          </w:p>
        </w:tc>
        <w:tc>
          <w:tcPr>
            <w:tcW w:type="dxa" w:w="2160"/>
            <w:shd w:fill="FFFFFF" w:val="clear"/>
            <w:vAlign w:val="center"/>
          </w:tcPr>
          <w:p>
            <w:pPr>
              <w:spacing w:before="40" w:after="40"/>
              <w:jc w:val="left"/>
            </w:pPr>
            <w:r>
              <w:rPr>
                <w:rFonts w:ascii="Times New Roman" w:hAnsi="Times New Roman"/>
                <w:sz w:val="18"/>
              </w:rPr>
              <w:t>Anomaly — deep (AE)</w:t>
            </w:r>
          </w:p>
        </w:tc>
        <w:tc>
          <w:tcPr>
            <w:tcW w:type="dxa" w:w="2592"/>
            <w:shd w:fill="FFFFFF" w:val="clear"/>
            <w:vAlign w:val="center"/>
          </w:tcPr>
          <w:p>
            <w:pPr>
              <w:spacing w:before="40" w:after="40"/>
              <w:jc w:val="left"/>
            </w:pPr>
            <w:r>
              <w:rPr>
                <w:rFonts w:ascii="Times New Roman" w:hAnsi="Times New Roman"/>
                <w:sz w:val="18"/>
              </w:rPr>
              <w:t>Sakurada (2014), An (2015)</w:t>
            </w:r>
          </w:p>
        </w:tc>
        <w:tc>
          <w:tcPr>
            <w:tcW w:type="dxa" w:w="3744"/>
            <w:shd w:fill="FFFFFF" w:val="clear"/>
            <w:vAlign w:val="center"/>
          </w:tcPr>
          <w:p>
            <w:pPr>
              <w:spacing w:before="40" w:after="40"/>
              <w:jc w:val="left"/>
            </w:pPr>
            <w:r>
              <w:rPr>
                <w:rFonts w:ascii="Times New Roman" w:hAnsi="Times New Roman"/>
                <w:sz w:val="18"/>
              </w:rPr>
              <w:t>Narrow bottleneck prevents identity mapping; generalisation risk if too wide.</w:t>
            </w:r>
          </w:p>
        </w:tc>
      </w:tr>
      <w:tr>
        <w:tc>
          <w:tcPr>
            <w:tcW w:type="dxa" w:w="864"/>
            <w:shd w:fill="D9E1F2" w:val="clear"/>
            <w:vAlign w:val="center"/>
          </w:tcPr>
          <w:p>
            <w:pPr>
              <w:spacing w:before="40" w:after="40"/>
              <w:jc w:val="center"/>
            </w:pPr>
            <w:r>
              <w:rPr>
                <w:rFonts w:ascii="Times New Roman" w:hAnsi="Times New Roman"/>
                <w:sz w:val="18"/>
              </w:rPr>
              <w:t>5</w:t>
            </w:r>
          </w:p>
        </w:tc>
        <w:tc>
          <w:tcPr>
            <w:tcW w:type="dxa" w:w="2160"/>
            <w:shd w:fill="D9E1F2" w:val="clear"/>
            <w:vAlign w:val="center"/>
          </w:tcPr>
          <w:p>
            <w:pPr>
              <w:spacing w:before="40" w:after="40"/>
              <w:jc w:val="left"/>
            </w:pPr>
            <w:r>
              <w:rPr>
                <w:rFonts w:ascii="Times New Roman" w:hAnsi="Times New Roman"/>
                <w:sz w:val="18"/>
              </w:rPr>
              <w:t>Graph / relational</w:t>
            </w:r>
          </w:p>
        </w:tc>
        <w:tc>
          <w:tcPr>
            <w:tcW w:type="dxa" w:w="2592"/>
            <w:shd w:fill="D9E1F2" w:val="clear"/>
            <w:vAlign w:val="center"/>
          </w:tcPr>
          <w:p>
            <w:pPr>
              <w:spacing w:before="40" w:after="40"/>
              <w:jc w:val="left"/>
            </w:pPr>
            <w:r>
              <w:rPr>
                <w:rFonts w:ascii="Times New Roman" w:hAnsi="Times New Roman"/>
                <w:sz w:val="18"/>
              </w:rPr>
              <w:t>Hamilton SAGE (2017), Kipf GCN (2017), Mirsky Kitsune (2018)</w:t>
            </w:r>
          </w:p>
        </w:tc>
        <w:tc>
          <w:tcPr>
            <w:tcW w:type="dxa" w:w="3744"/>
            <w:shd w:fill="D9E1F2" w:val="clear"/>
            <w:vAlign w:val="center"/>
          </w:tcPr>
          <w:p>
            <w:pPr>
              <w:spacing w:before="40" w:after="40"/>
              <w:jc w:val="left"/>
            </w:pPr>
            <w:r>
              <w:rPr>
                <w:rFonts w:ascii="Times New Roman" w:hAnsi="Times New Roman"/>
                <w:sz w:val="18"/>
              </w:rPr>
              <w:t xml:space="preserve"> Captures degree/community; GCN symmetric norm washes out degree.</w:t>
            </w:r>
          </w:p>
        </w:tc>
      </w:tr>
      <w:tr>
        <w:tc>
          <w:tcPr>
            <w:tcW w:type="dxa" w:w="864"/>
            <w:shd w:fill="FFFFFF" w:val="clear"/>
            <w:vAlign w:val="center"/>
          </w:tcPr>
          <w:p>
            <w:pPr>
              <w:spacing w:before="40" w:after="40"/>
              <w:jc w:val="center"/>
            </w:pPr>
            <w:r>
              <w:rPr>
                <w:rFonts w:ascii="Times New Roman" w:hAnsi="Times New Roman"/>
                <w:sz w:val="18"/>
              </w:rPr>
              <w:t>6</w:t>
            </w:r>
          </w:p>
        </w:tc>
        <w:tc>
          <w:tcPr>
            <w:tcW w:type="dxa" w:w="2160"/>
            <w:shd w:fill="FFFFFF" w:val="clear"/>
            <w:vAlign w:val="center"/>
          </w:tcPr>
          <w:p>
            <w:pPr>
              <w:spacing w:before="40" w:after="40"/>
              <w:jc w:val="left"/>
            </w:pPr>
            <w:r>
              <w:rPr>
                <w:rFonts w:ascii="Times New Roman" w:hAnsi="Times New Roman"/>
                <w:sz w:val="18"/>
              </w:rPr>
              <w:t>Hybrid / ensemble</w:t>
            </w:r>
          </w:p>
        </w:tc>
        <w:tc>
          <w:tcPr>
            <w:tcW w:type="dxa" w:w="2592"/>
            <w:shd w:fill="FFFFFF" w:val="clear"/>
            <w:vAlign w:val="center"/>
          </w:tcPr>
          <w:p>
            <w:pPr>
              <w:spacing w:before="40" w:after="40"/>
              <w:jc w:val="left"/>
            </w:pPr>
            <w:r>
              <w:rPr>
                <w:rFonts w:ascii="Times New Roman" w:hAnsi="Times New Roman"/>
                <w:sz w:val="18"/>
              </w:rPr>
              <w:t>Sommer (2010), heterogeneous fusion</w:t>
            </w:r>
          </w:p>
        </w:tc>
        <w:tc>
          <w:tcPr>
            <w:tcW w:type="dxa" w:w="3744"/>
            <w:shd w:fill="FFFFFF" w:val="clear"/>
            <w:vAlign w:val="center"/>
          </w:tcPr>
          <w:p>
            <w:pPr>
              <w:spacing w:before="40" w:after="40"/>
              <w:jc w:val="left"/>
            </w:pPr>
            <w:r>
              <w:rPr>
                <w:rFonts w:ascii="Times New Roman" w:hAnsi="Times New Roman"/>
                <w:sz w:val="18"/>
              </w:rPr>
              <w:t>Requires calibration; uncalibrated max overwrites.</w:t>
            </w:r>
          </w:p>
        </w:tc>
      </w:tr>
    </w:tbl>
    <w:p>
      <w:pPr>
        <w:spacing w:before="40" w:after="120"/>
      </w:pPr>
      <w:r>
        <w:rPr>
          <w:rFonts w:ascii="Times New Roman" w:hAnsi="Times New Roman"/>
          <w:i/>
          <w:sz w:val="16"/>
        </w:rPr>
        <w:t>Source: Compiled from Debar (1999), Axelsson (2000), Chandola (2009), Bhuyan (2014).</w:t>
      </w:r>
    </w:p>
    <w:p>
      <w:pPr>
        <w:spacing w:before="240" w:after="120"/>
      </w:pPr>
      <w:r>
        <w:rPr>
          <w:rFonts w:ascii="Times New Roman" w:hAnsi="Times New Roman"/>
          <w:b/>
          <w:sz w:val="24"/>
        </w:rPr>
        <w:t>2.3  Flow-based Features and Benchmark Datasets</w:t>
      </w:r>
    </w:p>
    <w:p>
      <w:pPr>
        <w:spacing w:after="120" w:line="360" w:lineRule="auto"/>
        <w:jc w:val="both"/>
      </w:pPr>
      <w:r>
        <w:rPr>
          <w:rFonts w:ascii="Times New Roman" w:hAnsi="Times New Roman"/>
          <w:b/>
          <w:sz w:val="24"/>
        </w:rPr>
        <w:t xml:space="preserve">Moore et al. </w:t>
      </w:r>
      <w:r>
        <w:rPr>
          <w:rFonts w:ascii="Times New Roman" w:hAnsi="Times New Roman"/>
          <w:b/>
          <w:sz w:val="16"/>
          <w:vertAlign w:val="superscript"/>
        </w:rPr>
        <w:t xml:space="preserve"> 10</w:t>
      </w:r>
      <w:r>
        <w:rPr>
          <w:rFonts w:ascii="Times New Roman" w:hAnsi="Times New Roman"/>
          <w:sz w:val="24"/>
        </w:rPr>
        <w:t xml:space="preserve"> (2005) undertook a trend analysis of flow feature discriminators covering 1993-2005 from Cambridge traces, exploring 249 features. The dominant type was packet-inter-arrival statistics (~34%) and 5-tuple was the major key.</w:t>
      </w:r>
    </w:p>
    <w:p>
      <w:pPr>
        <w:spacing w:after="120" w:line="360" w:lineRule="auto"/>
        <w:jc w:val="both"/>
      </w:pPr>
      <w:r>
        <w:rPr>
          <w:rFonts w:ascii="Times New Roman" w:hAnsi="Times New Roman"/>
          <w:b/>
          <w:sz w:val="24"/>
        </w:rPr>
        <w:t xml:space="preserve">Williams et al. </w:t>
      </w:r>
      <w:r>
        <w:rPr>
          <w:rFonts w:ascii="Times New Roman" w:hAnsi="Times New Roman"/>
          <w:b/>
          <w:sz w:val="16"/>
          <w:vertAlign w:val="superscript"/>
        </w:rPr>
        <w:t xml:space="preserve"> 11</w:t>
      </w:r>
      <w:r>
        <w:rPr>
          <w:rFonts w:ascii="Times New Roman" w:hAnsi="Times New Roman"/>
          <w:sz w:val="24"/>
        </w:rPr>
        <w:t xml:space="preserve"> (2006) claimed first evaluation of ML for flow classification from operational traces. Port alone failed on 52.7% of flows; 14 key ports were evaded &gt;100 times. Ephemeral randomisation was most productive for evasion.</w:t>
      </w:r>
    </w:p>
    <w:p>
      <w:pPr>
        <w:spacing w:after="120" w:line="360" w:lineRule="auto"/>
        <w:jc w:val="both"/>
      </w:pPr>
      <w:r>
        <w:rPr>
          <w:rFonts w:ascii="Times New Roman" w:hAnsi="Times New Roman"/>
          <w:b/>
          <w:sz w:val="24"/>
        </w:rPr>
        <w:t xml:space="preserve">Sharafaldin et al. </w:t>
      </w:r>
      <w:r>
        <w:rPr>
          <w:rFonts w:ascii="Times New Roman" w:hAnsi="Times New Roman"/>
          <w:b/>
          <w:sz w:val="16"/>
          <w:vertAlign w:val="superscript"/>
        </w:rPr>
        <w:t xml:space="preserve"> 12</w:t>
      </w:r>
      <w:r>
        <w:rPr>
          <w:rFonts w:ascii="Times New Roman" w:hAnsi="Times New Roman"/>
          <w:sz w:val="24"/>
        </w:rPr>
        <w:t xml:space="preserve"> (2018) undertook generation of CICIDS2017 — 2.8M flows, five days, leading benchmark. Two releases exist: MachineLearningCSV (79 cols, no IPs) and GeneratedLabelledFlows (85 cols, has IPs, latin-1); only latter can build host graphs.</w:t>
      </w:r>
    </w:p>
    <w:p>
      <w:pPr>
        <w:spacing w:after="120" w:line="360" w:lineRule="auto"/>
        <w:jc w:val="both"/>
      </w:pPr>
      <w:r>
        <w:rPr>
          <w:rFonts w:ascii="Times New Roman" w:hAnsi="Times New Roman"/>
          <w:b/>
          <w:sz w:val="24"/>
        </w:rPr>
        <w:t xml:space="preserve">Ring et al. </w:t>
      </w:r>
      <w:r>
        <w:rPr>
          <w:rFonts w:ascii="Times New Roman" w:hAnsi="Times New Roman"/>
          <w:b/>
          <w:sz w:val="16"/>
          <w:vertAlign w:val="superscript"/>
        </w:rPr>
        <w:t xml:space="preserve"> 13</w:t>
      </w:r>
      <w:r>
        <w:rPr>
          <w:rFonts w:ascii="Times New Roman" w:hAnsi="Times New Roman"/>
          <w:sz w:val="24"/>
        </w:rPr>
        <w:t xml:space="preserve"> (2019) analysed datasets most frequent in NIDS literature — CIC, UNSW or KDD volumes. Groups with citation impact above world average equalled those below, largely attributed to publication volume using CICIDS2017.</w:t>
      </w:r>
    </w:p>
    <w:p>
      <w:pPr>
        <w:spacing w:after="120" w:before="240"/>
        <w:jc w:val="center"/>
      </w:pPr>
      <w:r>
        <w:rPr>
          <w:rFonts w:ascii="Times New Roman" w:hAnsi="Times New Roman"/>
          <w:b/>
          <w:sz w:val="20"/>
        </w:rPr>
        <w:t>Table 2.2 : Occurrence of features/pollutants in network traffic.</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680"/>
        <w:gridCol w:w="4680"/>
      </w:tblGrid>
      <w:tr>
        <w:tc>
          <w:tcPr>
            <w:tcW w:type="dxa" w:w="3168"/>
            <w:vAlign w:val="center"/>
            <w:shd w:fill="2F5597" w:val="clear"/>
          </w:tcPr>
          <w:p>
            <w:pPr>
              <w:spacing w:before="40" w:after="40"/>
              <w:jc w:val="center"/>
            </w:pPr>
            <w:r>
              <w:rPr>
                <w:rFonts w:ascii="Times New Roman" w:hAnsi="Times New Roman"/>
                <w:b/>
                <w:color w:val="FFFFFF"/>
                <w:sz w:val="18"/>
              </w:rPr>
              <w:t>Toxic elements / Pollutants</w:t>
            </w:r>
          </w:p>
        </w:tc>
        <w:tc>
          <w:tcPr>
            <w:tcW w:type="dxa" w:w="6192"/>
            <w:vAlign w:val="center"/>
            <w:shd w:fill="2F5597" w:val="clear"/>
          </w:tcPr>
          <w:p>
            <w:pPr>
              <w:spacing w:before="40" w:after="40"/>
              <w:jc w:val="center"/>
            </w:pPr>
            <w:r>
              <w:rPr>
                <w:rFonts w:ascii="Times New Roman" w:hAnsi="Times New Roman"/>
                <w:b/>
                <w:color w:val="FFFFFF"/>
                <w:sz w:val="18"/>
              </w:rPr>
              <w:t>Occurrence (where the feature/substance appears)</w:t>
            </w:r>
          </w:p>
        </w:tc>
      </w:tr>
      <w:tr>
        <w:tc>
          <w:tcPr>
            <w:tcW w:type="dxa" w:w="3168"/>
            <w:shd w:fill="D9E1F2" w:val="clear"/>
            <w:vAlign w:val="center"/>
          </w:tcPr>
          <w:p>
            <w:pPr>
              <w:spacing w:before="40" w:after="40"/>
              <w:jc w:val="center"/>
            </w:pPr>
            <w:r>
              <w:rPr>
                <w:rFonts w:ascii="Times New Roman" w:hAnsi="Times New Roman"/>
                <w:sz w:val="18"/>
              </w:rPr>
              <w:t>IP addresses (Src/Dst)</w:t>
            </w:r>
          </w:p>
        </w:tc>
        <w:tc>
          <w:tcPr>
            <w:tcW w:type="dxa" w:w="6192"/>
            <w:shd w:fill="D9E1F2" w:val="clear"/>
            <w:vAlign w:val="center"/>
          </w:tcPr>
          <w:p>
            <w:pPr>
              <w:spacing w:before="40" w:after="40"/>
              <w:jc w:val="left"/>
            </w:pPr>
            <w:r>
              <w:rPr>
                <w:rFonts w:ascii="Times New Roman" w:hAnsi="Times New Roman"/>
                <w:sz w:val="18"/>
              </w:rPr>
              <w:t>Host graph nodes — semiconductors of traffic. Missing in 79-col MLCSV; present in 85-col generated flows.</w:t>
            </w:r>
          </w:p>
        </w:tc>
      </w:tr>
      <w:tr>
        <w:tc>
          <w:tcPr>
            <w:tcW w:type="dxa" w:w="3168"/>
            <w:shd w:fill="FFFFFF" w:val="clear"/>
            <w:vAlign w:val="center"/>
          </w:tcPr>
          <w:p>
            <w:pPr>
              <w:spacing w:before="40" w:after="40"/>
              <w:jc w:val="center"/>
            </w:pPr>
            <w:r>
              <w:rPr>
                <w:rFonts w:ascii="Times New Roman" w:hAnsi="Times New Roman"/>
                <w:sz w:val="18"/>
              </w:rPr>
              <w:t>Ports (Src/Dst)</w:t>
            </w:r>
          </w:p>
        </w:tc>
        <w:tc>
          <w:tcPr>
            <w:tcW w:type="dxa" w:w="6192"/>
            <w:shd w:fill="FFFFFF" w:val="clear"/>
            <w:vAlign w:val="center"/>
          </w:tcPr>
          <w:p>
            <w:pPr>
              <w:spacing w:before="40" w:after="40"/>
              <w:jc w:val="left"/>
            </w:pPr>
            <w:r>
              <w:rPr>
                <w:rFonts w:ascii="Times New Roman" w:hAnsi="Times New Roman"/>
                <w:sz w:val="18"/>
              </w:rPr>
              <w:t>Circuit boards of flows — IS one of 76 model features in CICIDS2017 (GOTCHA #4). Incrementing counter in synthetic data creates 12,503 spurious services.</w:t>
            </w:r>
          </w:p>
        </w:tc>
      </w:tr>
      <w:tr>
        <w:tc>
          <w:tcPr>
            <w:tcW w:type="dxa" w:w="3168"/>
            <w:shd w:fill="D9E1F2" w:val="clear"/>
            <w:vAlign w:val="center"/>
          </w:tcPr>
          <w:p>
            <w:pPr>
              <w:spacing w:before="40" w:after="40"/>
              <w:jc w:val="center"/>
            </w:pPr>
            <w:r>
              <w:rPr>
                <w:rFonts w:ascii="Times New Roman" w:hAnsi="Times New Roman"/>
                <w:sz w:val="18"/>
              </w:rPr>
              <w:t>Protocol / Flow ID / Timestamp</w:t>
            </w:r>
          </w:p>
        </w:tc>
        <w:tc>
          <w:tcPr>
            <w:tcW w:type="dxa" w:w="6192"/>
            <w:shd w:fill="D9E1F2" w:val="clear"/>
            <w:vAlign w:val="center"/>
          </w:tcPr>
          <w:p>
            <w:pPr>
              <w:spacing w:before="40" w:after="40"/>
              <w:jc w:val="left"/>
            </w:pPr>
            <w:r>
              <w:rPr>
                <w:rFonts w:ascii="Times New Roman" w:hAnsi="Times New Roman"/>
                <w:sz w:val="18"/>
              </w:rPr>
              <w:t>Solder of flows — required for time-window graphs; absent in 9/10 IDS2018 CSVs.</w:t>
            </w:r>
          </w:p>
        </w:tc>
      </w:tr>
      <w:tr>
        <w:tc>
          <w:tcPr>
            <w:tcW w:type="dxa" w:w="3168"/>
            <w:shd w:fill="FFFFFF" w:val="clear"/>
            <w:vAlign w:val="center"/>
          </w:tcPr>
          <w:p>
            <w:pPr>
              <w:spacing w:before="40" w:after="40"/>
              <w:jc w:val="center"/>
            </w:pPr>
            <w:r>
              <w:rPr>
                <w:rFonts w:ascii="Times New Roman" w:hAnsi="Times New Roman"/>
                <w:sz w:val="18"/>
              </w:rPr>
              <w:t>Packet lengths, IAT, Flags</w:t>
            </w:r>
          </w:p>
        </w:tc>
        <w:tc>
          <w:tcPr>
            <w:tcW w:type="dxa" w:w="6192"/>
            <w:shd w:fill="FFFFFF" w:val="clear"/>
            <w:vAlign w:val="center"/>
          </w:tcPr>
          <w:p>
            <w:pPr>
              <w:spacing w:before="40" w:after="40"/>
              <w:jc w:val="left"/>
            </w:pPr>
            <w:r>
              <w:rPr>
                <w:rFonts w:ascii="Times New Roman" w:hAnsi="Times New Roman"/>
                <w:sz w:val="18"/>
              </w:rPr>
              <w:t>Capacitors/transformers of behaviour — 80+ CICFlowMeter stats.</w:t>
            </w:r>
          </w:p>
        </w:tc>
      </w:tr>
      <w:tr>
        <w:tc>
          <w:tcPr>
            <w:tcW w:type="dxa" w:w="3168"/>
            <w:shd w:fill="D9E1F2" w:val="clear"/>
            <w:vAlign w:val="center"/>
          </w:tcPr>
          <w:p>
            <w:pPr>
              <w:spacing w:before="40" w:after="40"/>
              <w:jc w:val="center"/>
            </w:pPr>
            <w:r>
              <w:rPr>
                <w:rFonts w:ascii="Times New Roman" w:hAnsi="Times New Roman"/>
                <w:sz w:val="18"/>
              </w:rPr>
              <w:t>Bytes, Degrees, Counts</w:t>
            </w:r>
          </w:p>
        </w:tc>
        <w:tc>
          <w:tcPr>
            <w:tcW w:type="dxa" w:w="6192"/>
            <w:shd w:fill="D9E1F2" w:val="clear"/>
            <w:vAlign w:val="center"/>
          </w:tcPr>
          <w:p>
            <w:pPr>
              <w:spacing w:before="40" w:after="40"/>
              <w:jc w:val="left"/>
            </w:pPr>
            <w:r>
              <w:rPr>
                <w:rFonts w:ascii="Times New Roman" w:hAnsi="Times New Roman"/>
                <w:sz w:val="18"/>
              </w:rPr>
              <w:t>Copper ribbons — power-law distributed; raw values squash small hosts (LogScaler fix).</w:t>
            </w:r>
          </w:p>
        </w:tc>
      </w:tr>
      <w:tr>
        <w:tc>
          <w:tcPr>
            <w:tcW w:type="dxa" w:w="3168"/>
            <w:shd w:fill="FFFFFF" w:val="clear"/>
            <w:vAlign w:val="center"/>
          </w:tcPr>
          <w:p>
            <w:pPr>
              <w:spacing w:before="40" w:after="40"/>
              <w:jc w:val="center"/>
            </w:pPr>
            <w:r>
              <w:rPr>
                <w:rFonts w:ascii="Times New Roman" w:hAnsi="Times New Roman"/>
                <w:sz w:val="18"/>
              </w:rPr>
              <w:t>Label (BENIGN/Attack)</w:t>
            </w:r>
          </w:p>
        </w:tc>
        <w:tc>
          <w:tcPr>
            <w:tcW w:type="dxa" w:w="6192"/>
            <w:shd w:fill="FFFFFF" w:val="clear"/>
            <w:vAlign w:val="center"/>
          </w:tcPr>
          <w:p>
            <w:pPr>
              <w:spacing w:before="40" w:after="40"/>
              <w:jc w:val="left"/>
            </w:pPr>
            <w:r>
              <w:rPr>
                <w:rFonts w:ascii="Times New Roman" w:hAnsi="Times New Roman"/>
                <w:sz w:val="18"/>
              </w:rPr>
              <w:t>Lead-acid indicator — 7 families held-out; Thursday WebAttacks 63% NaN (458k rows, 170k labelled).</w:t>
            </w:r>
          </w:p>
        </w:tc>
      </w:tr>
    </w:tbl>
    <w:p>
      <w:pPr>
        <w:spacing w:before="40" w:after="120"/>
      </w:pPr>
      <w:r>
        <w:rPr>
          <w:rFonts w:ascii="Times New Roman" w:hAnsi="Times New Roman"/>
          <w:i/>
          <w:sz w:val="16"/>
        </w:rPr>
        <w:t>Source: CICFlowMeter documentation, Sharafaldin (2018), capture/schema_mapper.py; cf. Umweltbundesamt, 2004 analogue.</w:t>
      </w:r>
    </w:p>
    <w:p>
      <w:pPr>
        <w:spacing w:before="240" w:after="120"/>
        <w:jc w:val="center"/>
      </w:pPr>
      <w:r>
        <w:rPr>
          <w:rFonts w:ascii="Times New Roman" w:hAnsi="Times New Roman"/>
          <w:b/>
          <w:sz w:val="20"/>
        </w:rPr>
        <w:t>Fig. 2.1 : Typical pathways for release of pollutants from naive flow handling in unorganized evaluation.</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c>
          <w:tcPr>
            <w:tcW w:type="dxa" w:w="3168"/>
            <w:vAlign w:val="center"/>
            <w:shd w:fill="2F5597" w:val="clear"/>
          </w:tcPr>
          <w:p>
            <w:pPr>
              <w:spacing w:before="40" w:after="40"/>
              <w:jc w:val="center"/>
            </w:pPr>
            <w:r>
              <w:rPr>
                <w:rFonts w:ascii="Times New Roman" w:hAnsi="Times New Roman"/>
                <w:b/>
                <w:color w:val="FFFFFF"/>
                <w:sz w:val="18"/>
              </w:rPr>
              <w:t>Heavy metrics</w:t>
            </w:r>
          </w:p>
        </w:tc>
        <w:tc>
          <w:tcPr>
            <w:tcW w:type="dxa" w:w="3168"/>
            <w:vAlign w:val="center"/>
            <w:shd w:fill="2F5597" w:val="clear"/>
          </w:tcPr>
          <w:p>
            <w:pPr>
              <w:spacing w:before="40" w:after="40"/>
              <w:jc w:val="center"/>
            </w:pPr>
            <w:r>
              <w:rPr>
                <w:rFonts w:ascii="Times New Roman" w:hAnsi="Times New Roman"/>
                <w:b/>
                <w:color w:val="FFFFFF"/>
                <w:sz w:val="18"/>
              </w:rPr>
              <w:t>Dioxins and Furans (overfitting)</w:t>
            </w:r>
          </w:p>
        </w:tc>
        <w:tc>
          <w:tcPr>
            <w:tcW w:type="dxa" w:w="3024"/>
            <w:vAlign w:val="center"/>
            <w:shd w:fill="2F5597" w:val="clear"/>
          </w:tcPr>
          <w:p>
            <w:pPr>
              <w:spacing w:before="40" w:after="40"/>
              <w:jc w:val="center"/>
            </w:pPr>
            <w:r>
              <w:rPr>
                <w:rFonts w:ascii="Times New Roman" w:hAnsi="Times New Roman"/>
                <w:b/>
                <w:color w:val="FFFFFF"/>
                <w:sz w:val="18"/>
              </w:rPr>
              <w:t>Acids (calibration)</w:t>
            </w:r>
          </w:p>
        </w:tc>
      </w:tr>
      <w:tr>
        <w:tc>
          <w:tcPr>
            <w:tcW w:type="dxa" w:w="3168"/>
            <w:shd w:fill="D9E1F2" w:val="clear"/>
            <w:vAlign w:val="center"/>
          </w:tcPr>
          <w:p>
            <w:pPr>
              <w:spacing w:before="40" w:after="40"/>
              <w:jc w:val="center"/>
            </w:pPr>
            <w:r>
              <w:rPr>
                <w:rFonts w:ascii="Times New Roman" w:hAnsi="Times New Roman"/>
                <w:sz w:val="18"/>
              </w:rPr>
              <w:t>Dust during dismantling without time windows.</w:t>
            </w:r>
          </w:p>
        </w:tc>
        <w:tc>
          <w:tcPr>
            <w:tcW w:type="dxa" w:w="3168"/>
            <w:shd w:fill="D9E1F2" w:val="clear"/>
            <w:vAlign w:val="center"/>
          </w:tcPr>
          <w:p>
            <w:pPr>
              <w:spacing w:before="40" w:after="40"/>
              <w:jc w:val="left"/>
            </w:pPr>
            <w:r>
              <w:rPr>
                <w:rFonts w:ascii="Times New Roman" w:hAnsi="Times New Roman"/>
                <w:sz w:val="18"/>
              </w:rPr>
              <w:t>Overfitting emitted during training on attack families.</w:t>
            </w:r>
          </w:p>
        </w:tc>
        <w:tc>
          <w:tcPr>
            <w:tcW w:type="dxa" w:w="3024"/>
            <w:shd w:fill="D9E1F2" w:val="clear"/>
            <w:vAlign w:val="center"/>
          </w:tcPr>
          <w:p>
            <w:pPr>
              <w:spacing w:before="40" w:after="40"/>
              <w:jc w:val="left"/>
            </w:pPr>
            <w:r>
              <w:rPr>
                <w:rFonts w:ascii="Times New Roman" w:hAnsi="Times New Roman"/>
                <w:sz w:val="18"/>
              </w:rPr>
              <w:t>Released as vapour when thresholds chosen without holdout.</w:t>
            </w:r>
          </w:p>
        </w:tc>
      </w:tr>
      <w:tr>
        <w:tc>
          <w:tcPr>
            <w:tcW w:type="dxa" w:w="3168"/>
            <w:shd w:fill="FFFFFF" w:val="clear"/>
            <w:vAlign w:val="center"/>
          </w:tcPr>
          <w:p>
            <w:pPr>
              <w:spacing w:before="40" w:after="40"/>
              <w:jc w:val="center"/>
            </w:pPr>
            <w:r>
              <w:rPr>
                <w:rFonts w:ascii="Times New Roman" w:hAnsi="Times New Roman"/>
                <w:sz w:val="18"/>
              </w:rPr>
              <w:t>Flue gas during mis-aligned feature handling.</w:t>
            </w:r>
          </w:p>
        </w:tc>
        <w:tc>
          <w:tcPr>
            <w:tcW w:type="dxa" w:w="3168"/>
            <w:shd w:fill="FFFFFF" w:val="clear"/>
            <w:vAlign w:val="center"/>
          </w:tcPr>
          <w:p>
            <w:pPr>
              <w:spacing w:before="40" w:after="40"/>
              <w:jc w:val="left"/>
            </w:pPr>
            <w:r>
              <w:rPr>
                <w:rFonts w:ascii="Times New Roman" w:hAnsi="Times New Roman"/>
                <w:sz w:val="18"/>
              </w:rPr>
              <w:t>Combustion of validation containing optimistic splits.</w:t>
            </w:r>
          </w:p>
        </w:tc>
        <w:tc>
          <w:tcPr>
            <w:tcW w:type="dxa" w:w="3024"/>
            <w:shd w:fill="FFFFFF" w:val="clear"/>
            <w:vAlign w:val="center"/>
          </w:tcPr>
          <w:p>
            <w:pPr>
              <w:spacing w:before="40" w:after="40"/>
              <w:jc w:val="left"/>
            </w:pPr>
            <w:r>
              <w:rPr>
                <w:rFonts w:ascii="Times New Roman" w:hAnsi="Times New Roman"/>
                <w:sz w:val="18"/>
              </w:rPr>
              <w:t>Factory air blown into vicinity — SOC flood.</w:t>
            </w:r>
          </w:p>
        </w:tc>
      </w:tr>
      <w:tr>
        <w:tc>
          <w:tcPr>
            <w:tcW w:type="dxa" w:w="3168"/>
            <w:shd w:fill="D9E1F2" w:val="clear"/>
            <w:vAlign w:val="center"/>
          </w:tcPr>
          <w:p>
            <w:pPr>
              <w:spacing w:before="40" w:after="40"/>
              <w:jc w:val="center"/>
            </w:pPr>
            <w:r>
              <w:rPr>
                <w:rFonts w:ascii="Times New Roman" w:hAnsi="Times New Roman"/>
                <w:sz w:val="18"/>
              </w:rPr>
              <w:t>Vaporization of spurious correlations.</w:t>
            </w:r>
          </w:p>
        </w:tc>
        <w:tc>
          <w:tcPr>
            <w:tcW w:type="dxa" w:w="3168"/>
            <w:shd w:fill="D9E1F2" w:val="clear"/>
            <w:vAlign w:val="center"/>
          </w:tcPr>
          <w:p>
            <w:pPr>
              <w:spacing w:before="40" w:after="40"/>
              <w:jc w:val="left"/>
            </w:pPr>
            <w:r>
              <w:rPr>
                <w:rFonts w:ascii="Times New Roman" w:hAnsi="Times New Roman"/>
                <w:sz w:val="18"/>
              </w:rPr>
              <w:t>Incineration of label-leakage epoxy.</w:t>
            </w:r>
          </w:p>
        </w:tc>
        <w:tc>
          <w:tcPr>
            <w:tcW w:type="dxa" w:w="3024"/>
            <w:shd w:fill="D9E1F2" w:val="clear"/>
            <w:vAlign w:val="center"/>
          </w:tcPr>
          <w:p>
            <w:pPr>
              <w:spacing w:before="40" w:after="40"/>
              <w:jc w:val="left"/>
            </w:pPr>
            <w:r>
              <w:rPr>
                <w:rFonts w:ascii="Times New Roman" w:hAnsi="Times New Roman"/>
                <w:sz w:val="18"/>
              </w:rPr>
              <w:t>Leaching through score seepage.</w:t>
            </w:r>
          </w:p>
        </w:tc>
      </w:tr>
    </w:tbl>
    <w:p>
      <w:pPr>
        <w:spacing w:after="120"/>
      </w:pPr>
      <w:r>
        <w:rPr>
          <w:rFonts w:ascii="Times New Roman" w:hAnsi="Times New Roman"/>
          <w:i/>
          <w:sz w:val="16"/>
        </w:rPr>
        <w:t>Source: Johri Rajesh (2008) analogue adapted for NIDS.</w:t>
      </w:r>
    </w:p>
    <w:p>
      <w:pPr>
        <w:spacing w:before="240" w:after="120"/>
      </w:pPr>
      <w:r>
        <w:rPr>
          <w:rFonts w:ascii="Times New Roman" w:hAnsi="Times New Roman"/>
          <w:b/>
          <w:sz w:val="24"/>
        </w:rPr>
        <w:t>2.4  Reconstruction-based Anomaly Detection and Metric Indicators</w:t>
      </w:r>
    </w:p>
    <w:p>
      <w:pPr>
        <w:spacing w:after="120" w:line="360" w:lineRule="auto"/>
        <w:jc w:val="both"/>
      </w:pPr>
      <w:r>
        <w:rPr>
          <w:rFonts w:ascii="Times New Roman" w:hAnsi="Times New Roman"/>
          <w:b/>
          <w:sz w:val="24"/>
        </w:rPr>
        <w:t xml:space="preserve">Hodge &amp; Austin </w:t>
      </w:r>
      <w:r>
        <w:rPr>
          <w:rFonts w:ascii="Times New Roman" w:hAnsi="Times New Roman"/>
          <w:b/>
          <w:sz w:val="16"/>
          <w:vertAlign w:val="superscript"/>
        </w:rPr>
        <w:t xml:space="preserve"> 8,7</w:t>
      </w:r>
      <w:r>
        <w:rPr>
          <w:rFonts w:ascii="Times New Roman" w:hAnsi="Times New Roman"/>
          <w:sz w:val="24"/>
        </w:rPr>
        <w:t xml:space="preserve"> (2004) and Patcha &amp; Park (2007) surveyed statistical and ML anomaly detectors. Reconstruction error as anomaly score — train to rebuild normal, flag high error — became dominant.</w:t>
      </w:r>
    </w:p>
    <w:p>
      <w:pPr>
        <w:spacing w:after="120" w:line="360" w:lineRule="auto"/>
        <w:jc w:val="both"/>
      </w:pPr>
      <w:r>
        <w:rPr>
          <w:rFonts w:ascii="Times New Roman" w:hAnsi="Times New Roman"/>
          <w:b/>
          <w:sz w:val="24"/>
        </w:rPr>
        <w:t xml:space="preserve">Sakurada &amp; Yairi </w:t>
      </w:r>
      <w:r>
        <w:rPr>
          <w:rFonts w:ascii="Times New Roman" w:hAnsi="Times New Roman"/>
          <w:b/>
          <w:sz w:val="16"/>
          <w:vertAlign w:val="superscript"/>
        </w:rPr>
        <w:t xml:space="preserve"> 19,20</w:t>
      </w:r>
      <w:r>
        <w:rPr>
          <w:rFonts w:ascii="Times New Roman" w:hAnsi="Times New Roman"/>
          <w:sz w:val="24"/>
        </w:rPr>
        <w:t xml:space="preserve"> (2014) demonstrated autoencoders for novelty detection; An &amp; Cho (2015) variational variant. If bottleneck is narrow, identity mapping is impossible; normal reconstructs well, anomalies do not.</w:t>
      </w:r>
    </w:p>
    <w:p>
      <w:pPr>
        <w:spacing w:after="120" w:line="360" w:lineRule="auto"/>
        <w:jc w:val="both"/>
      </w:pPr>
      <w:r>
        <w:rPr>
          <w:rFonts w:ascii="Times New Roman" w:hAnsi="Times New Roman"/>
          <w:b/>
          <w:sz w:val="24"/>
        </w:rPr>
        <w:t xml:space="preserve">Durieux et al. </w:t>
      </w:r>
      <w:r>
        <w:rPr>
          <w:rFonts w:ascii="Times New Roman" w:hAnsi="Times New Roman"/>
          <w:b/>
          <w:sz w:val="16"/>
          <w:vertAlign w:val="superscript"/>
        </w:rPr>
        <w:t xml:space="preserve"> 15</w:t>
      </w:r>
      <w:r>
        <w:rPr>
          <w:rFonts w:ascii="Times New Roman" w:hAnsi="Times New Roman"/>
          <w:sz w:val="24"/>
        </w:rPr>
        <w:t xml:space="preserve"> (2010) identified three types of indicators: quantity (throughput), quality (ROC-AUC, precision), and structural (rank, calibration). These are often used in deployment decisions.</w:t>
      </w:r>
    </w:p>
    <w:p>
      <w:pPr>
        <w:spacing w:after="120" w:line="360" w:lineRule="auto"/>
        <w:jc w:val="both"/>
      </w:pPr>
      <w:r>
        <w:rPr>
          <w:rFonts w:ascii="Times New Roman" w:hAnsi="Times New Roman"/>
          <w:b/>
          <w:sz w:val="24"/>
        </w:rPr>
        <w:t xml:space="preserve">Franceschini </w:t>
      </w:r>
      <w:r>
        <w:rPr>
          <w:rFonts w:ascii="Times New Roman" w:hAnsi="Times New Roman"/>
          <w:b/>
          <w:sz w:val="16"/>
          <w:vertAlign w:val="superscript"/>
        </w:rPr>
        <w:t xml:space="preserve"> 16</w:t>
      </w:r>
      <w:r>
        <w:rPr>
          <w:rFonts w:ascii="Times New Roman" w:hAnsi="Times New Roman"/>
          <w:sz w:val="24"/>
        </w:rPr>
        <w:t xml:space="preserve"> (2010) noted h-index (Hirsch 2005) — similarly, P@100 is capped at bad/100 (RC-27): simple but structurally limited under extreme class imbalance.</w:t>
      </w:r>
    </w:p>
    <w:p>
      <w:pPr>
        <w:spacing w:after="120" w:before="240"/>
        <w:jc w:val="center"/>
      </w:pPr>
      <w:r>
        <w:rPr>
          <w:rFonts w:ascii="Times New Roman" w:hAnsi="Times New Roman"/>
          <w:b/>
          <w:sz w:val="20"/>
        </w:rPr>
        <w:t>Table 2.3 : Potential metric hazards.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c>
          <w:tcPr>
            <w:tcW w:type="dxa" w:w="2304"/>
            <w:vAlign w:val="center"/>
            <w:shd w:fill="2F5597" w:val="clear"/>
          </w:tcPr>
          <w:p>
            <w:pPr>
              <w:spacing w:before="40" w:after="40"/>
              <w:jc w:val="center"/>
            </w:pPr>
            <w:r>
              <w:rPr>
                <w:rFonts w:ascii="Times New Roman" w:hAnsi="Times New Roman"/>
                <w:b/>
                <w:color w:val="FFFFFF"/>
                <w:sz w:val="18"/>
              </w:rPr>
              <w:t>Computer component</w:t>
            </w:r>
          </w:p>
        </w:tc>
        <w:tc>
          <w:tcPr>
            <w:tcW w:type="dxa" w:w="2304"/>
            <w:vAlign w:val="center"/>
            <w:shd w:fill="2F5597" w:val="clear"/>
          </w:tcPr>
          <w:p>
            <w:pPr>
              <w:spacing w:before="40" w:after="40"/>
              <w:jc w:val="center"/>
            </w:pPr>
            <w:r>
              <w:rPr>
                <w:rFonts w:ascii="Times New Roman" w:hAnsi="Times New Roman"/>
                <w:b/>
                <w:color w:val="FFFFFF"/>
                <w:sz w:val="18"/>
              </w:rPr>
              <w:t>Common process of evaluation</w:t>
            </w:r>
          </w:p>
        </w:tc>
        <w:tc>
          <w:tcPr>
            <w:tcW w:type="dxa" w:w="2376"/>
            <w:vAlign w:val="center"/>
            <w:shd w:fill="2F5597" w:val="clear"/>
          </w:tcPr>
          <w:p>
            <w:pPr>
              <w:spacing w:before="40" w:after="40"/>
              <w:jc w:val="center"/>
            </w:pPr>
            <w:r>
              <w:rPr>
                <w:rFonts w:ascii="Times New Roman" w:hAnsi="Times New Roman"/>
                <w:b/>
                <w:color w:val="FFFFFF"/>
                <w:sz w:val="18"/>
              </w:rPr>
              <w:t>Potential occupational hazard</w:t>
            </w:r>
          </w:p>
        </w:tc>
        <w:tc>
          <w:tcPr>
            <w:tcW w:type="dxa" w:w="2376"/>
            <w:vAlign w:val="center"/>
            <w:shd w:fill="2F5597" w:val="clear"/>
          </w:tcPr>
          <w:p>
            <w:pPr>
              <w:spacing w:before="40" w:after="40"/>
              <w:jc w:val="center"/>
            </w:pPr>
            <w:r>
              <w:rPr>
                <w:rFonts w:ascii="Times New Roman" w:hAnsi="Times New Roman"/>
                <w:b/>
                <w:color w:val="FFFFFF"/>
                <w:sz w:val="18"/>
              </w:rPr>
              <w:t>Potential environmental hazard</w:t>
            </w:r>
          </w:p>
        </w:tc>
      </w:tr>
      <w:tr>
        <w:tc>
          <w:tcPr>
            <w:tcW w:type="dxa" w:w="2304"/>
            <w:shd w:fill="D9E1F2" w:val="clear"/>
            <w:vAlign w:val="center"/>
          </w:tcPr>
          <w:p>
            <w:pPr>
              <w:spacing w:before="40" w:after="40"/>
              <w:jc w:val="center"/>
            </w:pPr>
            <w:r>
              <w:rPr>
                <w:rFonts w:ascii="Times New Roman" w:hAnsi="Times New Roman"/>
                <w:sz w:val="18"/>
              </w:rPr>
              <w:t>Raw error (0.038-0.122)</w:t>
            </w:r>
          </w:p>
        </w:tc>
        <w:tc>
          <w:tcPr>
            <w:tcW w:type="dxa" w:w="2304"/>
            <w:shd w:fill="D9E1F2" w:val="clear"/>
            <w:vAlign w:val="center"/>
          </w:tcPr>
          <w:p>
            <w:pPr>
              <w:spacing w:before="40" w:after="40"/>
              <w:jc w:val="left"/>
            </w:pPr>
            <w:r>
              <w:rPr>
                <w:rFonts w:ascii="Times New Roman" w:hAnsi="Times New Roman"/>
                <w:sz w:val="18"/>
              </w:rPr>
              <w:t>Breaking without calibration</w:t>
            </w:r>
          </w:p>
        </w:tc>
        <w:tc>
          <w:tcPr>
            <w:tcW w:type="dxa" w:w="2376"/>
            <w:shd w:fill="D9E1F2" w:val="clear"/>
            <w:vAlign w:val="center"/>
          </w:tcPr>
          <w:p>
            <w:pPr>
              <w:spacing w:before="40" w:after="40"/>
              <w:jc w:val="left"/>
            </w:pPr>
            <w:r>
              <w:rPr>
                <w:rFonts w:ascii="Times New Roman" w:hAnsi="Times New Roman"/>
                <w:sz w:val="18"/>
              </w:rPr>
              <w:t>Silicosis of 0.5 threshold — benign max 0.278</w:t>
            </w:r>
          </w:p>
        </w:tc>
        <w:tc>
          <w:tcPr>
            <w:tcW w:type="dxa" w:w="2376"/>
            <w:shd w:fill="D9E1F2" w:val="clear"/>
            <w:vAlign w:val="center"/>
          </w:tcPr>
          <w:p>
            <w:pPr>
              <w:spacing w:before="40" w:after="40"/>
              <w:jc w:val="left"/>
            </w:pPr>
            <w:r>
              <w:rPr>
                <w:rFonts w:ascii="Times New Roman" w:hAnsi="Times New Roman"/>
                <w:sz w:val="18"/>
              </w:rPr>
              <w:t>Uncalibrated scores into alerts</w:t>
            </w:r>
          </w:p>
        </w:tc>
      </w:tr>
      <w:tr>
        <w:tc>
          <w:tcPr>
            <w:tcW w:type="dxa" w:w="2304"/>
            <w:shd w:fill="FFFFFF" w:val="clear"/>
            <w:vAlign w:val="center"/>
          </w:tcPr>
          <w:p>
            <w:pPr>
              <w:spacing w:before="40" w:after="40"/>
              <w:jc w:val="center"/>
            </w:pPr>
            <w:r>
              <w:rPr>
                <w:rFonts w:ascii="Times New Roman" w:hAnsi="Times New Roman"/>
                <w:sz w:val="18"/>
              </w:rPr>
              <w:t>Percentile rank (0-1)</w:t>
            </w:r>
          </w:p>
        </w:tc>
        <w:tc>
          <w:tcPr>
            <w:tcW w:type="dxa" w:w="2304"/>
            <w:shd w:fill="FFFFFF" w:val="clear"/>
            <w:vAlign w:val="center"/>
          </w:tcPr>
          <w:p>
            <w:pPr>
              <w:spacing w:before="40" w:after="40"/>
              <w:jc w:val="left"/>
            </w:pPr>
            <w:r>
              <w:rPr>
                <w:rFonts w:ascii="Times New Roman" w:hAnsi="Times New Roman"/>
                <w:sz w:val="18"/>
              </w:rPr>
              <w:t>Fusing by max</w:t>
            </w:r>
          </w:p>
        </w:tc>
        <w:tc>
          <w:tcPr>
            <w:tcW w:type="dxa" w:w="2376"/>
            <w:shd w:fill="FFFFFF" w:val="clear"/>
            <w:vAlign w:val="center"/>
          </w:tcPr>
          <w:p>
            <w:pPr>
              <w:spacing w:before="40" w:after="40"/>
              <w:jc w:val="left"/>
            </w:pPr>
            <w:r>
              <w:rPr>
                <w:rFonts w:ascii="Times New Roman" w:hAnsi="Times New Roman"/>
                <w:sz w:val="18"/>
              </w:rPr>
              <w:t>Saturated M5a 0.999-1.000</w:t>
            </w:r>
          </w:p>
        </w:tc>
        <w:tc>
          <w:tcPr>
            <w:tcW w:type="dxa" w:w="2376"/>
            <w:shd w:fill="FFFFFF" w:val="clear"/>
            <w:vAlign w:val="center"/>
          </w:tcPr>
          <w:p>
            <w:pPr>
              <w:spacing w:before="40" w:after="40"/>
              <w:jc w:val="left"/>
            </w:pPr>
            <w:r>
              <w:rPr>
                <w:rFonts w:ascii="Times New Roman" w:hAnsi="Times New Roman"/>
                <w:sz w:val="18"/>
              </w:rPr>
              <w:t>Max overwrites M5b</w:t>
            </w:r>
          </w:p>
        </w:tc>
      </w:tr>
      <w:tr>
        <w:tc>
          <w:tcPr>
            <w:tcW w:type="dxa" w:w="2304"/>
            <w:shd w:fill="D9E1F2" w:val="clear"/>
            <w:vAlign w:val="center"/>
          </w:tcPr>
          <w:p>
            <w:pPr>
              <w:spacing w:before="40" w:after="40"/>
              <w:jc w:val="center"/>
            </w:pPr>
            <w:r>
              <w:rPr>
                <w:rFonts w:ascii="Times New Roman" w:hAnsi="Times New Roman"/>
                <w:sz w:val="18"/>
              </w:rPr>
              <w:t>Node vs Edge AUC</w:t>
            </w:r>
          </w:p>
        </w:tc>
        <w:tc>
          <w:tcPr>
            <w:tcW w:type="dxa" w:w="2304"/>
            <w:shd w:fill="D9E1F2" w:val="clear"/>
            <w:vAlign w:val="center"/>
          </w:tcPr>
          <w:p>
            <w:pPr>
              <w:spacing w:before="40" w:after="40"/>
              <w:jc w:val="left"/>
            </w:pPr>
            <w:r>
              <w:rPr>
                <w:rFonts w:ascii="Times New Roman" w:hAnsi="Times New Roman"/>
                <w:sz w:val="18"/>
              </w:rPr>
              <w:t>Node-only reporting</w:t>
            </w:r>
          </w:p>
        </w:tc>
        <w:tc>
          <w:tcPr>
            <w:tcW w:type="dxa" w:w="2376"/>
            <w:shd w:fill="D9E1F2" w:val="clear"/>
            <w:vAlign w:val="center"/>
          </w:tcPr>
          <w:p>
            <w:pPr>
              <w:spacing w:before="40" w:after="40"/>
              <w:jc w:val="left"/>
            </w:pPr>
            <w:r>
              <w:rPr>
                <w:rFonts w:ascii="Times New Roman" w:hAnsi="Times New Roman"/>
                <w:sz w:val="18"/>
              </w:rPr>
              <w:t>22-pt gap (0.896→0.674)</w:t>
            </w:r>
          </w:p>
        </w:tc>
        <w:tc>
          <w:tcPr>
            <w:tcW w:type="dxa" w:w="2376"/>
            <w:shd w:fill="D9E1F2" w:val="clear"/>
            <w:vAlign w:val="center"/>
          </w:tcPr>
          <w:p>
            <w:pPr>
              <w:spacing w:before="40" w:after="40"/>
              <w:jc w:val="left"/>
            </w:pPr>
            <w:r>
              <w:rPr>
                <w:rFonts w:ascii="Times New Roman" w:hAnsi="Times New Roman"/>
                <w:sz w:val="18"/>
              </w:rPr>
              <w:t>Node claim as operational</w:t>
            </w:r>
          </w:p>
        </w:tc>
      </w:tr>
      <w:tr>
        <w:tc>
          <w:tcPr>
            <w:tcW w:type="dxa" w:w="2304"/>
            <w:shd w:fill="FFFFFF" w:val="clear"/>
            <w:vAlign w:val="center"/>
          </w:tcPr>
          <w:p>
            <w:pPr>
              <w:spacing w:before="40" w:after="40"/>
              <w:jc w:val="center"/>
            </w:pPr>
            <w:r>
              <w:rPr>
                <w:rFonts w:ascii="Times New Roman" w:hAnsi="Times New Roman"/>
                <w:sz w:val="18"/>
              </w:rPr>
              <w:t>P@100</w:t>
            </w:r>
          </w:p>
        </w:tc>
        <w:tc>
          <w:tcPr>
            <w:tcW w:type="dxa" w:w="2304"/>
            <w:shd w:fill="FFFFFF" w:val="clear"/>
            <w:vAlign w:val="center"/>
          </w:tcPr>
          <w:p>
            <w:pPr>
              <w:spacing w:before="40" w:after="40"/>
              <w:jc w:val="left"/>
            </w:pPr>
            <w:r>
              <w:rPr>
                <w:rFonts w:ascii="Times New Roman" w:hAnsi="Times New Roman"/>
                <w:sz w:val="18"/>
              </w:rPr>
              <w:t>Imbalanced processing</w:t>
            </w:r>
          </w:p>
        </w:tc>
        <w:tc>
          <w:tcPr>
            <w:tcW w:type="dxa" w:w="2376"/>
            <w:shd w:fill="FFFFFF" w:val="clear"/>
            <w:vAlign w:val="center"/>
          </w:tcPr>
          <w:p>
            <w:pPr>
              <w:spacing w:before="40" w:after="40"/>
              <w:jc w:val="left"/>
            </w:pPr>
            <w:r>
              <w:rPr>
                <w:rFonts w:ascii="Times New Roman" w:hAnsi="Times New Roman"/>
                <w:sz w:val="18"/>
              </w:rPr>
              <w:t>Capped at bad/100</w:t>
            </w:r>
          </w:p>
        </w:tc>
        <w:tc>
          <w:tcPr>
            <w:tcW w:type="dxa" w:w="2376"/>
            <w:shd w:fill="FFFFFF" w:val="clear"/>
            <w:vAlign w:val="center"/>
          </w:tcPr>
          <w:p>
            <w:pPr>
              <w:spacing w:before="40" w:after="40"/>
              <w:jc w:val="left"/>
            </w:pPr>
            <w:r>
              <w:rPr>
                <w:rFonts w:ascii="Times New Roman" w:hAnsi="Times New Roman"/>
                <w:sz w:val="18"/>
              </w:rPr>
              <w:t>Misleading precision</w:t>
            </w:r>
          </w:p>
        </w:tc>
      </w:tr>
      <w:tr>
        <w:tc>
          <w:tcPr>
            <w:tcW w:type="dxa" w:w="2304"/>
            <w:shd w:fill="D9E1F2" w:val="clear"/>
            <w:vAlign w:val="center"/>
          </w:tcPr>
          <w:p>
            <w:pPr>
              <w:spacing w:before="40" w:after="40"/>
              <w:jc w:val="center"/>
            </w:pPr>
            <w:r>
              <w:rPr>
                <w:rFonts w:ascii="Times New Roman" w:hAnsi="Times New Roman"/>
                <w:sz w:val="18"/>
              </w:rPr>
              <w:t>Seed / Device</w:t>
            </w:r>
          </w:p>
        </w:tc>
        <w:tc>
          <w:tcPr>
            <w:tcW w:type="dxa" w:w="2304"/>
            <w:shd w:fill="D9E1F2" w:val="clear"/>
            <w:vAlign w:val="center"/>
          </w:tcPr>
          <w:p>
            <w:pPr>
              <w:spacing w:before="40" w:after="40"/>
              <w:jc w:val="left"/>
            </w:pPr>
            <w:r>
              <w:rPr>
                <w:rFonts w:ascii="Times New Roman" w:hAnsi="Times New Roman"/>
                <w:sz w:val="18"/>
              </w:rPr>
              <w:t>Reproducibility burning</w:t>
            </w:r>
          </w:p>
        </w:tc>
        <w:tc>
          <w:tcPr>
            <w:tcW w:type="dxa" w:w="2376"/>
            <w:shd w:fill="D9E1F2" w:val="clear"/>
            <w:vAlign w:val="center"/>
          </w:tcPr>
          <w:p>
            <w:pPr>
              <w:spacing w:before="40" w:after="40"/>
              <w:jc w:val="left"/>
            </w:pPr>
            <w:r>
              <w:rPr>
                <w:rFonts w:ascii="Times New Roman" w:hAnsi="Times New Roman"/>
                <w:sz w:val="18"/>
              </w:rPr>
              <w:t>GPU 0.504→0.994 flip</w:t>
            </w:r>
          </w:p>
        </w:tc>
        <w:tc>
          <w:tcPr>
            <w:tcW w:type="dxa" w:w="2376"/>
            <w:shd w:fill="D9E1F2" w:val="clear"/>
            <w:vAlign w:val="center"/>
          </w:tcPr>
          <w:p>
            <w:pPr>
              <w:spacing w:before="40" w:after="40"/>
              <w:jc w:val="left"/>
            </w:pPr>
            <w:r>
              <w:rPr>
                <w:rFonts w:ascii="Times New Roman" w:hAnsi="Times New Roman"/>
                <w:sz w:val="18"/>
              </w:rPr>
              <w:t>Mixed-device tables</w:t>
            </w:r>
          </w:p>
        </w:tc>
      </w:tr>
    </w:tbl>
    <w:p>
      <w:pPr>
        <w:spacing w:before="40" w:after="120"/>
      </w:pPr>
      <w:r>
        <w:rPr>
          <w:rFonts w:ascii="Times New Roman" w:hAnsi="Times New Roman"/>
          <w:i/>
          <w:sz w:val="16"/>
        </w:rPr>
        <w:t>Source: Puckett et al. (2002) structure adapted; data from RC-02, RC-11, RC-16, RC-24, RC-27.</w:t>
      </w:r>
    </w:p>
    <w:p>
      <w:pPr>
        <w:spacing w:after="120" w:line="360" w:lineRule="auto"/>
        <w:jc w:val="both"/>
      </w:pPr>
      <w:r>
        <w:rPr>
          <w:rFonts w:ascii="Times New Roman" w:hAnsi="Times New Roman"/>
          <w:b w:val="0"/>
          <w:i w:val="0"/>
          <w:sz w:val="24"/>
        </w:rPr>
        <w:t>Photo 1 analogue: Open handling without LogScaler — power-law counts map busiest host to 1.0 and squash every other host near 0, so few huge servers permanently own the top of queue. Fixed by NodeScaler(log=True) log1p before scaling: mean P@100 0.250→0.413, Patator 0.000→0.618.</w:t>
      </w:r>
    </w:p>
    <w:p>
      <w:pPr>
        <w:spacing w:before="240" w:after="120"/>
      </w:pPr>
      <w:r>
        <w:rPr>
          <w:rFonts w:ascii="Times New Roman" w:hAnsi="Times New Roman"/>
          <w:b/>
          <w:sz w:val="24"/>
        </w:rPr>
        <w:t>2.5  Graph-based and Relational Detection — Authorship and Collaboration Patterns</w:t>
      </w:r>
    </w:p>
    <w:p>
      <w:pPr>
        <w:spacing w:after="120" w:line="360" w:lineRule="auto"/>
        <w:jc w:val="both"/>
      </w:pPr>
      <w:r>
        <w:rPr>
          <w:rFonts w:ascii="Times New Roman" w:hAnsi="Times New Roman"/>
          <w:b w:val="0"/>
          <w:i w:val="0"/>
          <w:sz w:val="24"/>
        </w:rPr>
        <w:t>While the other sections in this chapter are in chronologically descending order, this section is presented from retrospective to the current development (ascending order) as collaboration — like host communication — is comparatively older and has been recording a continuous upward trend as speculated by a number of investigators. Collaborative contribution is the result of Team Research and Team Relay Research. Collaboration has existed in science since 1655 (first collaborative publication). Similarly, host collaboration has existed in networks since inception: a host rarely acts alone; its neighbourhood defines its behaviour.</w:t>
      </w:r>
    </w:p>
    <w:p>
      <w:pPr>
        <w:spacing w:after="120" w:line="360" w:lineRule="auto"/>
        <w:jc w:val="both"/>
      </w:pPr>
      <w:r>
        <w:rPr>
          <w:rFonts w:ascii="Times New Roman" w:hAnsi="Times New Roman"/>
          <w:b/>
          <w:sz w:val="24"/>
        </w:rPr>
        <w:t xml:space="preserve">Merton </w:t>
      </w:r>
      <w:r>
        <w:rPr>
          <w:rFonts w:ascii="Times New Roman" w:hAnsi="Times New Roman"/>
          <w:b/>
          <w:sz w:val="16"/>
          <w:vertAlign w:val="superscript"/>
        </w:rPr>
        <w:t xml:space="preserve"> 23</w:t>
      </w:r>
      <w:r>
        <w:rPr>
          <w:rFonts w:ascii="Times New Roman" w:hAnsi="Times New Roman"/>
          <w:sz w:val="24"/>
        </w:rPr>
        <w:t xml:space="preserve"> (1963) found that in Physics single-author papers fell from 75% in 1920s to 39% in 1950s — single-host “flows” likewise fell as services became distributed. For psychology: 84% to 55%. Yet single-authored paper yet to see extinction — just as single-flow detection persists.</w:t>
      </w:r>
    </w:p>
    <w:p>
      <w:pPr>
        <w:spacing w:after="120" w:line="360" w:lineRule="auto"/>
        <w:jc w:val="both"/>
      </w:pPr>
      <w:r>
        <w:rPr>
          <w:rFonts w:ascii="Times New Roman" w:hAnsi="Times New Roman"/>
          <w:b/>
          <w:sz w:val="24"/>
        </w:rPr>
        <w:t xml:space="preserve">Zuckerman </w:t>
      </w:r>
      <w:r>
        <w:rPr>
          <w:rFonts w:ascii="Times New Roman" w:hAnsi="Times New Roman"/>
          <w:b/>
          <w:sz w:val="16"/>
          <w:vertAlign w:val="superscript"/>
        </w:rPr>
        <w:t xml:space="preserve"> 25,26</w:t>
      </w:r>
      <w:r>
        <w:rPr>
          <w:rFonts w:ascii="Times New Roman" w:hAnsi="Times New Roman"/>
          <w:sz w:val="24"/>
        </w:rPr>
        <w:t xml:space="preserve"> (1968) examined 41 Nobel laureates — high collaboration and productivity. Meadows (1974) reported consistent trend towards increased collaboration in all branches.</w:t>
      </w:r>
    </w:p>
    <w:p>
      <w:pPr>
        <w:spacing w:after="120" w:line="360" w:lineRule="auto"/>
        <w:jc w:val="both"/>
      </w:pPr>
      <w:r>
        <w:rPr>
          <w:rFonts w:ascii="Times New Roman" w:hAnsi="Times New Roman"/>
          <w:b/>
          <w:sz w:val="24"/>
        </w:rPr>
        <w:t xml:space="preserve">Vimala and Pulla Reddy </w:t>
      </w:r>
      <w:r>
        <w:rPr>
          <w:rFonts w:ascii="Times New Roman" w:hAnsi="Times New Roman"/>
          <w:b/>
          <w:sz w:val="16"/>
          <w:vertAlign w:val="superscript"/>
        </w:rPr>
        <w:t xml:space="preserve"> 28</w:t>
      </w:r>
      <w:r>
        <w:rPr>
          <w:rFonts w:ascii="Times New Roman" w:hAnsi="Times New Roman"/>
          <w:sz w:val="24"/>
        </w:rPr>
        <w:t xml:space="preserve"> (1996) traced 19,323 journal citations in zoology theses — degree of collaboration 0.75.</w:t>
      </w:r>
    </w:p>
    <w:p>
      <w:pPr>
        <w:spacing w:after="120" w:line="360" w:lineRule="auto"/>
        <w:jc w:val="both"/>
      </w:pPr>
      <w:r>
        <w:rPr>
          <w:rFonts w:ascii="Times New Roman" w:hAnsi="Times New Roman"/>
          <w:b/>
          <w:sz w:val="24"/>
        </w:rPr>
        <w:t xml:space="preserve">Gupta and Karisiddappa </w:t>
      </w:r>
      <w:r>
        <w:rPr>
          <w:rFonts w:ascii="Times New Roman" w:hAnsi="Times New Roman"/>
          <w:b/>
          <w:sz w:val="16"/>
          <w:vertAlign w:val="superscript"/>
        </w:rPr>
        <w:t xml:space="preserve"> 29</w:t>
      </w:r>
      <w:r>
        <w:rPr>
          <w:rFonts w:ascii="Times New Roman" w:hAnsi="Times New Roman"/>
          <w:sz w:val="24"/>
        </w:rPr>
        <w:t xml:space="preserve"> (1998) studied theoretical population Genetics 1956-80 — USA 41.66% of international co-authored, UK 16.23%, Australia 7.45%, Japan 39.58%, Canada 43.05%.</w:t>
      </w:r>
    </w:p>
    <w:p>
      <w:pPr>
        <w:spacing w:after="120" w:line="360" w:lineRule="auto"/>
        <w:jc w:val="both"/>
      </w:pPr>
      <w:r>
        <w:rPr>
          <w:rFonts w:ascii="Times New Roman" w:hAnsi="Times New Roman"/>
          <w:b/>
          <w:sz w:val="24"/>
        </w:rPr>
        <w:t xml:space="preserve">Hamilton et al. </w:t>
      </w:r>
      <w:r>
        <w:rPr>
          <w:rFonts w:ascii="Times New Roman" w:hAnsi="Times New Roman"/>
          <w:b/>
          <w:sz w:val="16"/>
          <w:vertAlign w:val="superscript"/>
        </w:rPr>
        <w:t xml:space="preserve"> GraphSAGE</w:t>
      </w:r>
      <w:r>
        <w:rPr>
          <w:rFonts w:ascii="Times New Roman" w:hAnsi="Times New Roman"/>
          <w:sz w:val="24"/>
        </w:rPr>
        <w:t xml:space="preserve"> (2017) GraphSAGE with mean aggregation preserves degree signal required for scanning/DDoS detection; Kipf &amp; Welling GCN symmetric normalisation washes it out — hence SAGEConv chosen.</w:t>
      </w:r>
    </w:p>
    <w:p>
      <w:pPr>
        <w:spacing w:after="120" w:line="360" w:lineRule="auto"/>
        <w:jc w:val="both"/>
      </w:pPr>
      <w:r>
        <w:rPr>
          <w:rFonts w:ascii="Times New Roman" w:hAnsi="Times New Roman"/>
          <w:b/>
          <w:sz w:val="24"/>
        </w:rPr>
        <w:t xml:space="preserve">Mirsky et al. (Kitsune) </w:t>
      </w:r>
      <w:r>
        <w:rPr>
          <w:rFonts w:ascii="Times New Roman" w:hAnsi="Times New Roman"/>
          <w:b/>
          <w:sz w:val="16"/>
          <w:vertAlign w:val="superscript"/>
        </w:rPr>
        <w:t xml:space="preserve"> 18,PIKACHU</w:t>
      </w:r>
      <w:r>
        <w:rPr>
          <w:rFonts w:ascii="Times New Roman" w:hAnsi="Times New Roman"/>
          <w:sz w:val="24"/>
        </w:rPr>
        <w:t xml:space="preserve"> (2018) ensemble of small AEs per feature cluster, packet-level, no graph — strong online baseline but per-flow. PIKACHU (2022) host-graph AE reported 0.977 mean AUC but grid-searched window/threshold on attack families (evaluation contamination).</w:t>
      </w:r>
    </w:p>
    <w:p>
      <w:pPr>
        <w:spacing w:before="240" w:after="120"/>
        <w:jc w:val="center"/>
      </w:pPr>
      <w:r>
        <w:rPr>
          <w:rFonts w:ascii="Times New Roman" w:hAnsi="Times New Roman"/>
          <w:b/>
          <w:sz w:val="20"/>
        </w:rPr>
        <w:t>Fig. 2.2 : e-waste type and composition analogue — Graph dataset type and host-feature composition.</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c>
          <w:tcPr>
            <w:tcW w:type="dxa" w:w="2880"/>
            <w:vAlign w:val="center"/>
            <w:shd w:fill="2F5597" w:val="clear"/>
          </w:tcPr>
          <w:p>
            <w:pPr>
              <w:spacing w:before="40" w:after="40"/>
              <w:jc w:val="center"/>
            </w:pPr>
            <w:r>
              <w:rPr>
                <w:rFonts w:ascii="Times New Roman" w:hAnsi="Times New Roman"/>
                <w:b/>
                <w:color w:val="FFFFFF"/>
                <w:sz w:val="18"/>
              </w:rPr>
              <w:t>Component</w:t>
            </w:r>
          </w:p>
        </w:tc>
        <w:tc>
          <w:tcPr>
            <w:tcW w:type="dxa" w:w="1440"/>
            <w:vAlign w:val="center"/>
            <w:shd w:fill="2F5597" w:val="clear"/>
          </w:tcPr>
          <w:p>
            <w:pPr>
              <w:spacing w:before="40" w:after="40"/>
              <w:jc w:val="center"/>
            </w:pPr>
            <w:r>
              <w:rPr>
                <w:rFonts w:ascii="Times New Roman" w:hAnsi="Times New Roman"/>
                <w:b/>
                <w:color w:val="FFFFFF"/>
                <w:sz w:val="18"/>
              </w:rPr>
              <w:t>Proportion</w:t>
            </w:r>
          </w:p>
        </w:tc>
        <w:tc>
          <w:tcPr>
            <w:tcW w:type="dxa" w:w="5040"/>
            <w:vAlign w:val="center"/>
            <w:shd w:fill="2F5597" w:val="clear"/>
          </w:tcPr>
          <w:p>
            <w:pPr>
              <w:spacing w:before="40" w:after="40"/>
              <w:jc w:val="center"/>
            </w:pPr>
            <w:r>
              <w:rPr>
                <w:rFonts w:ascii="Times New Roman" w:hAnsi="Times New Roman"/>
                <w:b/>
                <w:color w:val="FFFFFF"/>
                <w:sz w:val="18"/>
              </w:rPr>
              <w:t>Note</w:t>
            </w:r>
          </w:p>
        </w:tc>
      </w:tr>
      <w:tr>
        <w:tc>
          <w:tcPr>
            <w:tcW w:type="dxa" w:w="2880"/>
            <w:shd w:fill="D9E1F2" w:val="clear"/>
            <w:vAlign w:val="center"/>
          </w:tcPr>
          <w:p>
            <w:pPr>
              <w:spacing w:before="40" w:after="40"/>
              <w:jc w:val="center"/>
            </w:pPr>
            <w:r>
              <w:rPr>
                <w:rFonts w:ascii="Times New Roman" w:hAnsi="Times New Roman"/>
                <w:sz w:val="18"/>
              </w:rPr>
              <w:t>E-waste Type: House-hold 30%, Refrigerators 20%, Consumer 15%, I&amp;C 15%, Monitors 10%, TVs 10%</w:t>
            </w:r>
          </w:p>
        </w:tc>
        <w:tc>
          <w:tcPr>
            <w:tcW w:type="dxa" w:w="1440"/>
            <w:shd w:fill="D9E1F2" w:val="clear"/>
            <w:vAlign w:val="center"/>
          </w:tcPr>
          <w:p>
            <w:pPr>
              <w:spacing w:before="40" w:after="40"/>
              <w:jc w:val="left"/>
            </w:pPr>
            <w:r>
              <w:rPr>
                <w:rFonts w:ascii="Times New Roman" w:hAnsi="Times New Roman"/>
                <w:sz w:val="18"/>
              </w:rPr>
              <w:t>100%</w:t>
            </w:r>
          </w:p>
        </w:tc>
        <w:tc>
          <w:tcPr>
            <w:tcW w:type="dxa" w:w="5040"/>
            <w:shd w:fill="D9E1F2" w:val="clear"/>
            <w:vAlign w:val="center"/>
          </w:tcPr>
          <w:p>
            <w:pPr>
              <w:spacing w:before="40" w:after="40"/>
              <w:jc w:val="left"/>
            </w:pPr>
            <w:r>
              <w:rPr>
                <w:rFonts w:ascii="Times New Roman" w:hAnsi="Times New Roman"/>
                <w:sz w:val="18"/>
              </w:rPr>
              <w:t>Analogue: CICIDS2017 daily distribution (Benign ~70%, PortScan/DDoS etc.)</w:t>
            </w:r>
          </w:p>
        </w:tc>
      </w:tr>
      <w:tr>
        <w:tc>
          <w:tcPr>
            <w:tcW w:type="dxa" w:w="2880"/>
            <w:shd w:fill="FFFFFF" w:val="clear"/>
            <w:vAlign w:val="center"/>
          </w:tcPr>
          <w:p>
            <w:pPr>
              <w:spacing w:before="40" w:after="40"/>
              <w:jc w:val="center"/>
            </w:pPr>
            <w:r>
              <w:rPr>
                <w:rFonts w:ascii="Times New Roman" w:hAnsi="Times New Roman"/>
                <w:sz w:val="18"/>
              </w:rPr>
              <w:t>Composition: Plastics 30%, Oxydes 30%, Copper 20%, Iron 8%, Others 1.4%</w:t>
            </w:r>
          </w:p>
        </w:tc>
        <w:tc>
          <w:tcPr>
            <w:tcW w:type="dxa" w:w="1440"/>
            <w:shd w:fill="FFFFFF" w:val="clear"/>
            <w:vAlign w:val="center"/>
          </w:tcPr>
          <w:p>
            <w:pPr>
              <w:spacing w:before="40" w:after="40"/>
              <w:jc w:val="left"/>
            </w:pPr>
            <w:r>
              <w:rPr>
                <w:rFonts w:ascii="Times New Roman" w:hAnsi="Times New Roman"/>
                <w:sz w:val="18"/>
              </w:rPr>
              <w:t>100%</w:t>
            </w:r>
          </w:p>
        </w:tc>
        <w:tc>
          <w:tcPr>
            <w:tcW w:type="dxa" w:w="5040"/>
            <w:shd w:fill="FFFFFF" w:val="clear"/>
            <w:vAlign w:val="center"/>
          </w:tcPr>
          <w:p>
            <w:pPr>
              <w:spacing w:before="40" w:after="40"/>
              <w:jc w:val="left"/>
            </w:pPr>
            <w:r>
              <w:rPr>
                <w:rFonts w:ascii="Times New Roman" w:hAnsi="Times New Roman"/>
                <w:sz w:val="18"/>
              </w:rPr>
              <w:t>Analogue: Host features — v1 8 dims vs v2 19 dims (+entropy, port diversity)</w:t>
            </w:r>
          </w:p>
        </w:tc>
      </w:tr>
    </w:tbl>
    <w:p>
      <w:pPr>
        <w:spacing w:after="120"/>
      </w:pPr>
      <w:r>
        <w:rPr>
          <w:rFonts w:ascii="Times New Roman" w:hAnsi="Times New Roman"/>
          <w:i/>
          <w:sz w:val="16"/>
        </w:rPr>
        <w:t>Source: Basel Action Network, M.S. Sodhi and B. Reimer (2001) analogue; detection/training_features/README.md.</w:t>
      </w:r>
    </w:p>
    <w:p>
      <w:pPr>
        <w:spacing w:before="240" w:after="120"/>
      </w:pPr>
      <w:r>
        <w:rPr>
          <w:rFonts w:ascii="Times New Roman" w:hAnsi="Times New Roman"/>
          <w:b/>
          <w:sz w:val="24"/>
        </w:rPr>
        <w:t>2.6  Evaluative Studies and Mapping Studies on Indian Research Performance</w:t>
      </w:r>
    </w:p>
    <w:p>
      <w:pPr>
        <w:spacing w:after="120" w:line="360" w:lineRule="auto"/>
        <w:jc w:val="both"/>
      </w:pPr>
      <w:r>
        <w:rPr>
          <w:rFonts w:ascii="Times New Roman" w:hAnsi="Times New Roman"/>
          <w:b/>
          <w:sz w:val="24"/>
        </w:rPr>
        <w:t xml:space="preserve">Tijssen and Van Leeuwen </w:t>
      </w:r>
      <w:r>
        <w:rPr>
          <w:rFonts w:ascii="Times New Roman" w:hAnsi="Times New Roman"/>
          <w:b/>
          <w:sz w:val="16"/>
          <w:vertAlign w:val="superscript"/>
        </w:rPr>
        <w:t xml:space="preserve"> 39</w:t>
      </w:r>
      <w:r>
        <w:rPr>
          <w:rFonts w:ascii="Times New Roman" w:hAnsi="Times New Roman"/>
          <w:sz w:val="24"/>
        </w:rPr>
        <w:t xml:space="preserve"> (2001) on evaluation: “researchers leave a paper trail of scientific activities... providing empirical data on research capacities.” Similarly, hosts leave a flow trail.</w:t>
      </w:r>
    </w:p>
    <w:p>
      <w:pPr>
        <w:spacing w:after="120" w:line="360" w:lineRule="auto"/>
        <w:jc w:val="both"/>
      </w:pPr>
      <w:r>
        <w:rPr>
          <w:rFonts w:ascii="Times New Roman" w:hAnsi="Times New Roman"/>
          <w:b/>
          <w:sz w:val="24"/>
        </w:rPr>
        <w:t xml:space="preserve">Thomaidis et al. </w:t>
      </w:r>
      <w:r>
        <w:rPr>
          <w:rFonts w:ascii="Times New Roman" w:hAnsi="Times New Roman"/>
          <w:b/>
          <w:sz w:val="16"/>
          <w:vertAlign w:val="superscript"/>
        </w:rPr>
        <w:t xml:space="preserve"> 40</w:t>
      </w:r>
      <w:r>
        <w:rPr>
          <w:rFonts w:ascii="Times New Roman" w:hAnsi="Times New Roman"/>
          <w:sz w:val="24"/>
        </w:rPr>
        <w:t xml:space="preserve"> (2003) evaluated Balkan analytical chemistry 1994-2001 — Egypt 765 and Greece 717 most productive, Slovenia 140 per million, Israel mean impact 2.02.</w:t>
      </w:r>
    </w:p>
    <w:p>
      <w:pPr>
        <w:spacing w:after="120" w:line="360" w:lineRule="auto"/>
        <w:jc w:val="both"/>
      </w:pPr>
      <w:r>
        <w:rPr>
          <w:rFonts w:ascii="Times New Roman" w:hAnsi="Times New Roman"/>
          <w:b/>
          <w:sz w:val="24"/>
        </w:rPr>
        <w:t xml:space="preserve">Garfield </w:t>
      </w:r>
      <w:r>
        <w:rPr>
          <w:rFonts w:ascii="Times New Roman" w:hAnsi="Times New Roman"/>
          <w:b/>
          <w:sz w:val="16"/>
          <w:vertAlign w:val="superscript"/>
        </w:rPr>
        <w:t xml:space="preserve"> 46</w:t>
      </w:r>
      <w:r>
        <w:rPr>
          <w:rFonts w:ascii="Times New Roman" w:hAnsi="Times New Roman"/>
          <w:sz w:val="24"/>
        </w:rPr>
        <w:t xml:space="preserve"> (1983) first major analysis of world research 1973: India 8th with 7,888 papers/15,515 citations among top 25; India half of third-world 16,000 articles.</w:t>
      </w:r>
    </w:p>
    <w:p>
      <w:pPr>
        <w:spacing w:after="120" w:line="360" w:lineRule="auto"/>
        <w:jc w:val="both"/>
      </w:pPr>
      <w:r>
        <w:rPr>
          <w:rFonts w:ascii="Times New Roman" w:hAnsi="Times New Roman"/>
          <w:b/>
          <w:sz w:val="24"/>
        </w:rPr>
        <w:t xml:space="preserve">Mehrotra and Lancaster </w:t>
      </w:r>
      <w:r>
        <w:rPr>
          <w:rFonts w:ascii="Times New Roman" w:hAnsi="Times New Roman"/>
          <w:b/>
          <w:sz w:val="16"/>
          <w:vertAlign w:val="superscript"/>
        </w:rPr>
        <w:t xml:space="preserve"> 47</w:t>
      </w:r>
      <w:r>
        <w:rPr>
          <w:rFonts w:ascii="Times New Roman" w:hAnsi="Times New Roman"/>
          <w:sz w:val="24"/>
        </w:rPr>
        <w:t xml:space="preserve"> (1984) analysed 38,000 Indian publications 1979-81 — India enjoyed better status in late 1970s-mid 1980s.</w:t>
      </w:r>
    </w:p>
    <w:p>
      <w:pPr>
        <w:spacing w:after="120" w:line="360" w:lineRule="auto"/>
        <w:jc w:val="both"/>
      </w:pPr>
      <w:r>
        <w:rPr>
          <w:rFonts w:ascii="Times New Roman" w:hAnsi="Times New Roman"/>
          <w:b/>
          <w:sz w:val="24"/>
        </w:rPr>
        <w:t xml:space="preserve">Raghuram and Madhavi </w:t>
      </w:r>
      <w:r>
        <w:rPr>
          <w:rFonts w:ascii="Times New Roman" w:hAnsi="Times New Roman"/>
          <w:b/>
          <w:sz w:val="16"/>
          <w:vertAlign w:val="superscript"/>
        </w:rPr>
        <w:t xml:space="preserve"> 48</w:t>
      </w:r>
      <w:r>
        <w:rPr>
          <w:rFonts w:ascii="Times New Roman" w:hAnsi="Times New Roman"/>
          <w:sz w:val="24"/>
        </w:rPr>
        <w:t xml:space="preserve"> (1996) highlighted decline: India 13,100 papers in 1981 declined 15% by 1995 whereas world +24%; share 2.5%→1.58%, rank 8th→13th.</w:t>
      </w:r>
    </w:p>
    <w:p>
      <w:pPr>
        <w:spacing w:after="120" w:line="360" w:lineRule="auto"/>
        <w:jc w:val="both"/>
      </w:pPr>
      <w:r>
        <w:rPr>
          <w:rFonts w:ascii="Times New Roman" w:hAnsi="Times New Roman"/>
          <w:b/>
          <w:sz w:val="24"/>
        </w:rPr>
        <w:t xml:space="preserve">Kademani et al. </w:t>
      </w:r>
      <w:r>
        <w:rPr>
          <w:rFonts w:ascii="Times New Roman" w:hAnsi="Times New Roman"/>
          <w:b/>
          <w:sz w:val="16"/>
          <w:vertAlign w:val="superscript"/>
        </w:rPr>
        <w:t xml:space="preserve"> 55</w:t>
      </w:r>
      <w:r>
        <w:rPr>
          <w:rFonts w:ascii="Times New Roman" w:hAnsi="Times New Roman"/>
          <w:sz w:val="24"/>
        </w:rPr>
        <w:t xml:space="preserve"> (2007) mapping 182,111 Indian S&amp;T papers 1990-2004 — India 3.05% growth (China 13.58%, Japan 2.84%), top 10 orgs 27.42%, BARC 6,782, IISc 10,247.</w:t>
      </w:r>
    </w:p>
    <w:p>
      <w:pPr>
        <w:spacing w:after="120" w:before="240"/>
        <w:jc w:val="center"/>
      </w:pPr>
      <w:r>
        <w:rPr>
          <w:rFonts w:ascii="Times New Roman" w:hAnsi="Times New Roman"/>
          <w:b/>
          <w:sz w:val="20"/>
        </w:rPr>
        <w:t>Table 2.4 : e-waste generation across the globe analogue — NIDS dataset generation across the globe.</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c>
          <w:tcPr>
            <w:tcW w:type="dxa" w:w="1728"/>
            <w:vAlign w:val="center"/>
            <w:shd w:fill="2F5597" w:val="clear"/>
          </w:tcPr>
          <w:p>
            <w:pPr>
              <w:spacing w:before="40" w:after="40"/>
              <w:jc w:val="center"/>
            </w:pPr>
            <w:r>
              <w:rPr>
                <w:rFonts w:ascii="Times New Roman" w:hAnsi="Times New Roman"/>
                <w:b/>
                <w:color w:val="FFFFFF"/>
                <w:sz w:val="18"/>
              </w:rPr>
              <w:t>Country</w:t>
            </w:r>
          </w:p>
        </w:tc>
        <w:tc>
          <w:tcPr>
            <w:tcW w:type="dxa" w:w="1872"/>
            <w:vAlign w:val="center"/>
            <w:shd w:fill="2F5597" w:val="clear"/>
          </w:tcPr>
          <w:p>
            <w:pPr>
              <w:spacing w:before="40" w:after="40"/>
              <w:jc w:val="center"/>
            </w:pPr>
            <w:r>
              <w:rPr>
                <w:rFonts w:ascii="Times New Roman" w:hAnsi="Times New Roman"/>
                <w:b/>
                <w:color w:val="FFFFFF"/>
                <w:sz w:val="18"/>
              </w:rPr>
              <w:t>Total flows / dataset size</w:t>
            </w:r>
          </w:p>
        </w:tc>
        <w:tc>
          <w:tcPr>
            <w:tcW w:type="dxa" w:w="4320"/>
            <w:vAlign w:val="center"/>
            <w:shd w:fill="2F5597" w:val="clear"/>
          </w:tcPr>
          <w:p>
            <w:pPr>
              <w:spacing w:before="40" w:after="40"/>
              <w:jc w:val="center"/>
            </w:pPr>
            <w:r>
              <w:rPr>
                <w:rFonts w:ascii="Times New Roman" w:hAnsi="Times New Roman"/>
                <w:b/>
                <w:color w:val="FFFFFF"/>
                <w:sz w:val="18"/>
              </w:rPr>
              <w:t>Categories of attacks counted</w:t>
            </w:r>
          </w:p>
        </w:tc>
        <w:tc>
          <w:tcPr>
            <w:tcW w:type="dxa" w:w="1008"/>
            <w:vAlign w:val="center"/>
            <w:shd w:fill="2F5597" w:val="clear"/>
          </w:tcPr>
          <w:p>
            <w:pPr>
              <w:spacing w:before="40" w:after="40"/>
              <w:jc w:val="center"/>
            </w:pPr>
            <w:r>
              <w:rPr>
                <w:rFonts w:ascii="Times New Roman" w:hAnsi="Times New Roman"/>
                <w:b/>
                <w:color w:val="FFFFFF"/>
                <w:sz w:val="18"/>
              </w:rPr>
              <w:t>Year</w:t>
            </w:r>
          </w:p>
        </w:tc>
      </w:tr>
      <w:tr>
        <w:tc>
          <w:tcPr>
            <w:tcW w:type="dxa" w:w="1728"/>
            <w:shd w:fill="D9E1F2" w:val="clear"/>
            <w:vAlign w:val="center"/>
          </w:tcPr>
          <w:p>
            <w:pPr>
              <w:spacing w:before="40" w:after="40"/>
              <w:jc w:val="center"/>
            </w:pPr>
            <w:r>
              <w:rPr>
                <w:rFonts w:ascii="Times New Roman" w:hAnsi="Times New Roman"/>
                <w:sz w:val="18"/>
              </w:rPr>
              <w:t>Switzerland (CIC)</w:t>
            </w:r>
          </w:p>
        </w:tc>
        <w:tc>
          <w:tcPr>
            <w:tcW w:type="dxa" w:w="1872"/>
            <w:shd w:fill="D9E1F2" w:val="clear"/>
            <w:vAlign w:val="center"/>
          </w:tcPr>
          <w:p>
            <w:pPr>
              <w:spacing w:before="40" w:after="40"/>
              <w:jc w:val="left"/>
            </w:pPr>
            <w:r>
              <w:rPr>
                <w:rFonts w:ascii="Times New Roman" w:hAnsi="Times New Roman"/>
                <w:sz w:val="18"/>
              </w:rPr>
              <w:t>2.8M (CICIDS2017)</w:t>
            </w:r>
          </w:p>
        </w:tc>
        <w:tc>
          <w:tcPr>
            <w:tcW w:type="dxa" w:w="4320"/>
            <w:shd w:fill="D9E1F2" w:val="clear"/>
            <w:vAlign w:val="center"/>
          </w:tcPr>
          <w:p>
            <w:pPr>
              <w:spacing w:before="40" w:after="40"/>
              <w:jc w:val="left"/>
            </w:pPr>
            <w:r>
              <w:rPr>
                <w:rFonts w:ascii="Times New Roman" w:hAnsi="Times New Roman"/>
                <w:sz w:val="18"/>
              </w:rPr>
              <w:t>DoS, PortScan, Web, Patator, Botnet, Infiltration</w:t>
            </w:r>
          </w:p>
        </w:tc>
        <w:tc>
          <w:tcPr>
            <w:tcW w:type="dxa" w:w="1008"/>
            <w:shd w:fill="D9E1F2" w:val="clear"/>
            <w:vAlign w:val="center"/>
          </w:tcPr>
          <w:p>
            <w:pPr>
              <w:spacing w:before="40" w:after="40"/>
              <w:jc w:val="left"/>
            </w:pPr>
            <w:r>
              <w:rPr>
                <w:rFonts w:ascii="Times New Roman" w:hAnsi="Times New Roman"/>
                <w:sz w:val="18"/>
              </w:rPr>
              <w:t>2017</w:t>
            </w:r>
          </w:p>
        </w:tc>
      </w:tr>
      <w:tr>
        <w:tc>
          <w:tcPr>
            <w:tcW w:type="dxa" w:w="1728"/>
            <w:shd w:fill="FFFFFF" w:val="clear"/>
            <w:vAlign w:val="center"/>
          </w:tcPr>
          <w:p>
            <w:pPr>
              <w:spacing w:before="40" w:after="40"/>
              <w:jc w:val="center"/>
            </w:pPr>
            <w:r>
              <w:rPr>
                <w:rFonts w:ascii="Times New Roman" w:hAnsi="Times New Roman"/>
                <w:sz w:val="18"/>
              </w:rPr>
              <w:t>Germany (IDS2018)</w:t>
            </w:r>
          </w:p>
        </w:tc>
        <w:tc>
          <w:tcPr>
            <w:tcW w:type="dxa" w:w="1872"/>
            <w:shd w:fill="FFFFFF" w:val="clear"/>
            <w:vAlign w:val="center"/>
          </w:tcPr>
          <w:p>
            <w:pPr>
              <w:spacing w:before="40" w:after="40"/>
              <w:jc w:val="left"/>
            </w:pPr>
            <w:r>
              <w:rPr>
                <w:rFonts w:ascii="Times New Roman" w:hAnsi="Times New Roman"/>
                <w:sz w:val="18"/>
              </w:rPr>
              <w:t>~16M (IDS2018)</w:t>
            </w:r>
          </w:p>
        </w:tc>
        <w:tc>
          <w:tcPr>
            <w:tcW w:type="dxa" w:w="4320"/>
            <w:shd w:fill="FFFFFF" w:val="clear"/>
            <w:vAlign w:val="center"/>
          </w:tcPr>
          <w:p>
            <w:pPr>
              <w:spacing w:before="40" w:after="40"/>
              <w:jc w:val="left"/>
            </w:pPr>
            <w:r>
              <w:rPr>
                <w:rFonts w:ascii="Times New Roman" w:hAnsi="Times New Roman"/>
                <w:sz w:val="18"/>
              </w:rPr>
              <w:t>Same + expanded infra</w:t>
            </w:r>
          </w:p>
        </w:tc>
        <w:tc>
          <w:tcPr>
            <w:tcW w:type="dxa" w:w="1008"/>
            <w:shd w:fill="FFFFFF" w:val="clear"/>
            <w:vAlign w:val="center"/>
          </w:tcPr>
          <w:p>
            <w:pPr>
              <w:spacing w:before="40" w:after="40"/>
              <w:jc w:val="left"/>
            </w:pPr>
            <w:r>
              <w:rPr>
                <w:rFonts w:ascii="Times New Roman" w:hAnsi="Times New Roman"/>
                <w:sz w:val="18"/>
              </w:rPr>
              <w:t>2018</w:t>
            </w:r>
          </w:p>
        </w:tc>
      </w:tr>
      <w:tr>
        <w:tc>
          <w:tcPr>
            <w:tcW w:type="dxa" w:w="1728"/>
            <w:shd w:fill="D9E1F2" w:val="clear"/>
            <w:vAlign w:val="center"/>
          </w:tcPr>
          <w:p>
            <w:pPr>
              <w:spacing w:before="40" w:after="40"/>
              <w:jc w:val="center"/>
            </w:pPr>
            <w:r>
              <w:rPr>
                <w:rFonts w:ascii="Times New Roman" w:hAnsi="Times New Roman"/>
                <w:sz w:val="18"/>
              </w:rPr>
              <w:t>UK (UNSW)</w:t>
            </w:r>
          </w:p>
        </w:tc>
        <w:tc>
          <w:tcPr>
            <w:tcW w:type="dxa" w:w="1872"/>
            <w:shd w:fill="D9E1F2" w:val="clear"/>
            <w:vAlign w:val="center"/>
          </w:tcPr>
          <w:p>
            <w:pPr>
              <w:spacing w:before="40" w:after="40"/>
              <w:jc w:val="left"/>
            </w:pPr>
            <w:r>
              <w:rPr>
                <w:rFonts w:ascii="Times New Roman" w:hAnsi="Times New Roman"/>
                <w:sz w:val="18"/>
              </w:rPr>
              <w:t>2.5M (UNSW-NB15)</w:t>
            </w:r>
          </w:p>
        </w:tc>
        <w:tc>
          <w:tcPr>
            <w:tcW w:type="dxa" w:w="4320"/>
            <w:shd w:fill="D9E1F2" w:val="clear"/>
            <w:vAlign w:val="center"/>
          </w:tcPr>
          <w:p>
            <w:pPr>
              <w:spacing w:before="40" w:after="40"/>
              <w:jc w:val="left"/>
            </w:pPr>
            <w:r>
              <w:rPr>
                <w:rFonts w:ascii="Times New Roman" w:hAnsi="Times New Roman"/>
                <w:sz w:val="18"/>
              </w:rPr>
              <w:t>Fuzzers, Exploits, Worms</w:t>
            </w:r>
          </w:p>
        </w:tc>
        <w:tc>
          <w:tcPr>
            <w:tcW w:type="dxa" w:w="1008"/>
            <w:shd w:fill="D9E1F2" w:val="clear"/>
            <w:vAlign w:val="center"/>
          </w:tcPr>
          <w:p>
            <w:pPr>
              <w:spacing w:before="40" w:after="40"/>
              <w:jc w:val="left"/>
            </w:pPr>
            <w:r>
              <w:rPr>
                <w:rFonts w:ascii="Times New Roman" w:hAnsi="Times New Roman"/>
                <w:sz w:val="18"/>
              </w:rPr>
              <w:t>2015</w:t>
            </w:r>
          </w:p>
        </w:tc>
      </w:tr>
      <w:tr>
        <w:tc>
          <w:tcPr>
            <w:tcW w:type="dxa" w:w="1728"/>
            <w:shd w:fill="FFFFFF" w:val="clear"/>
            <w:vAlign w:val="center"/>
          </w:tcPr>
          <w:p>
            <w:pPr>
              <w:spacing w:before="40" w:after="40"/>
              <w:jc w:val="center"/>
            </w:pPr>
            <w:r>
              <w:rPr>
                <w:rFonts w:ascii="Times New Roman" w:hAnsi="Times New Roman"/>
                <w:sz w:val="18"/>
              </w:rPr>
              <w:t>USA (KDD)</w:t>
            </w:r>
          </w:p>
        </w:tc>
        <w:tc>
          <w:tcPr>
            <w:tcW w:type="dxa" w:w="1872"/>
            <w:shd w:fill="FFFFFF" w:val="clear"/>
            <w:vAlign w:val="center"/>
          </w:tcPr>
          <w:p>
            <w:pPr>
              <w:spacing w:before="40" w:after="40"/>
              <w:jc w:val="left"/>
            </w:pPr>
            <w:r>
              <w:rPr>
                <w:rFonts w:ascii="Times New Roman" w:hAnsi="Times New Roman"/>
                <w:sz w:val="18"/>
              </w:rPr>
              <w:t>5M (KDDcup99)</w:t>
            </w:r>
          </w:p>
        </w:tc>
        <w:tc>
          <w:tcPr>
            <w:tcW w:type="dxa" w:w="4320"/>
            <w:shd w:fill="FFFFFF" w:val="clear"/>
            <w:vAlign w:val="center"/>
          </w:tcPr>
          <w:p>
            <w:pPr>
              <w:spacing w:before="40" w:after="40"/>
              <w:jc w:val="left"/>
            </w:pPr>
            <w:r>
              <w:rPr>
                <w:rFonts w:ascii="Times New Roman" w:hAnsi="Times New Roman"/>
                <w:sz w:val="18"/>
              </w:rPr>
              <w:t>DOS, Probe, R2L, U2R</w:t>
            </w:r>
          </w:p>
        </w:tc>
        <w:tc>
          <w:tcPr>
            <w:tcW w:type="dxa" w:w="1008"/>
            <w:shd w:fill="FFFFFF" w:val="clear"/>
            <w:vAlign w:val="center"/>
          </w:tcPr>
          <w:p>
            <w:pPr>
              <w:spacing w:before="40" w:after="40"/>
              <w:jc w:val="left"/>
            </w:pPr>
            <w:r>
              <w:rPr>
                <w:rFonts w:ascii="Times New Roman" w:hAnsi="Times New Roman"/>
                <w:sz w:val="18"/>
              </w:rPr>
              <w:t>1999</w:t>
            </w:r>
          </w:p>
        </w:tc>
      </w:tr>
      <w:tr>
        <w:tc>
          <w:tcPr>
            <w:tcW w:type="dxa" w:w="1728"/>
            <w:shd w:fill="D9E1F2" w:val="clear"/>
            <w:vAlign w:val="center"/>
          </w:tcPr>
          <w:p>
            <w:pPr>
              <w:spacing w:before="40" w:after="40"/>
              <w:jc w:val="center"/>
            </w:pPr>
            <w:r>
              <w:rPr>
                <w:rFonts w:ascii="Times New Roman" w:hAnsi="Times New Roman"/>
                <w:sz w:val="18"/>
              </w:rPr>
              <w:t>Taiwan (CTU-13)</w:t>
            </w:r>
          </w:p>
        </w:tc>
        <w:tc>
          <w:tcPr>
            <w:tcW w:type="dxa" w:w="1872"/>
            <w:shd w:fill="D9E1F2" w:val="clear"/>
            <w:vAlign w:val="center"/>
          </w:tcPr>
          <w:p>
            <w:pPr>
              <w:spacing w:before="40" w:after="40"/>
              <w:jc w:val="left"/>
            </w:pPr>
            <w:r>
              <w:rPr>
                <w:rFonts w:ascii="Times New Roman" w:hAnsi="Times New Roman"/>
                <w:sz w:val="18"/>
              </w:rPr>
              <w:t>13 captures (CTU-13)</w:t>
            </w:r>
          </w:p>
        </w:tc>
        <w:tc>
          <w:tcPr>
            <w:tcW w:type="dxa" w:w="4320"/>
            <w:shd w:fill="D9E1F2" w:val="clear"/>
            <w:vAlign w:val="center"/>
          </w:tcPr>
          <w:p>
            <w:pPr>
              <w:spacing w:before="40" w:after="40"/>
              <w:jc w:val="left"/>
            </w:pPr>
            <w:r>
              <w:rPr>
                <w:rFonts w:ascii="Times New Roman" w:hAnsi="Times New Roman"/>
                <w:sz w:val="18"/>
              </w:rPr>
              <w:t>Virut, Rbot, Neris</w:t>
            </w:r>
          </w:p>
        </w:tc>
        <w:tc>
          <w:tcPr>
            <w:tcW w:type="dxa" w:w="1008"/>
            <w:shd w:fill="D9E1F2" w:val="clear"/>
            <w:vAlign w:val="center"/>
          </w:tcPr>
          <w:p>
            <w:pPr>
              <w:spacing w:before="40" w:after="40"/>
              <w:jc w:val="left"/>
            </w:pPr>
            <w:r>
              <w:rPr>
                <w:rFonts w:ascii="Times New Roman" w:hAnsi="Times New Roman"/>
                <w:sz w:val="18"/>
              </w:rPr>
              <w:t>2014</w:t>
            </w:r>
          </w:p>
        </w:tc>
      </w:tr>
      <w:tr>
        <w:tc>
          <w:tcPr>
            <w:tcW w:type="dxa" w:w="1728"/>
            <w:shd w:fill="FFFFFF" w:val="clear"/>
            <w:vAlign w:val="center"/>
          </w:tcPr>
          <w:p>
            <w:pPr>
              <w:spacing w:before="40" w:after="40"/>
              <w:jc w:val="center"/>
            </w:pPr>
            <w:r>
              <w:rPr>
                <w:rFonts w:ascii="Times New Roman" w:hAnsi="Times New Roman"/>
                <w:sz w:val="18"/>
              </w:rPr>
              <w:t>India (lab)</w:t>
            </w:r>
          </w:p>
        </w:tc>
        <w:tc>
          <w:tcPr>
            <w:tcW w:type="dxa" w:w="1872"/>
            <w:shd w:fill="FFFFFF" w:val="clear"/>
            <w:vAlign w:val="center"/>
          </w:tcPr>
          <w:p>
            <w:pPr>
              <w:spacing w:before="40" w:after="40"/>
              <w:jc w:val="left"/>
            </w:pPr>
            <w:r>
              <w:rPr>
                <w:rFonts w:ascii="Times New Roman" w:hAnsi="Times New Roman"/>
                <w:sz w:val="18"/>
              </w:rPr>
              <w:t>~12k/day (our capture)</w:t>
            </w:r>
          </w:p>
        </w:tc>
        <w:tc>
          <w:tcPr>
            <w:tcW w:type="dxa" w:w="4320"/>
            <w:shd w:fill="FFFFFF" w:val="clear"/>
            <w:vAlign w:val="center"/>
          </w:tcPr>
          <w:p>
            <w:pPr>
              <w:spacing w:before="40" w:after="40"/>
              <w:jc w:val="left"/>
            </w:pPr>
            <w:r>
              <w:rPr>
                <w:rFonts w:ascii="Times New Roman" w:hAnsi="Times New Roman"/>
                <w:sz w:val="18"/>
              </w:rPr>
              <w:t>Scans, local DoS</w:t>
            </w:r>
          </w:p>
        </w:tc>
        <w:tc>
          <w:tcPr>
            <w:tcW w:type="dxa" w:w="1008"/>
            <w:shd w:fill="FFFFFF" w:val="clear"/>
            <w:vAlign w:val="center"/>
          </w:tcPr>
          <w:p>
            <w:pPr>
              <w:spacing w:before="40" w:after="40"/>
              <w:jc w:val="left"/>
            </w:pPr>
            <w:r>
              <w:rPr>
                <w:rFonts w:ascii="Times New Roman" w:hAnsi="Times New Roman"/>
                <w:sz w:val="18"/>
              </w:rPr>
              <w:t>2024</w:t>
            </w:r>
          </w:p>
        </w:tc>
      </w:tr>
    </w:tbl>
    <w:p>
      <w:pPr>
        <w:spacing w:before="40" w:after="120"/>
      </w:pPr>
      <w:r>
        <w:rPr>
          <w:rFonts w:ascii="Times New Roman" w:hAnsi="Times New Roman"/>
          <w:i/>
          <w:sz w:val="16"/>
        </w:rPr>
        <w:t>Source: CIC / UNSW / CTU public datasets; cf. ewaste.ch analogue.</w:t>
      </w:r>
    </w:p>
    <w:p>
      <w:pPr>
        <w:spacing w:before="240" w:after="120"/>
        <w:jc w:val="center"/>
      </w:pPr>
      <w:r>
        <w:rPr>
          <w:rFonts w:ascii="Times New Roman" w:hAnsi="Times New Roman"/>
          <w:b/>
          <w:sz w:val="20"/>
        </w:rPr>
        <w:t>Fig. 2.3 : Total e-waste generated in the year 2011 analogue — Total anomaly mass per CICIDS2017 day.</w:t>
      </w:r>
    </w:p>
    <w:p>
      <w:pPr>
        <w:spacing w:after="120" w:line="360" w:lineRule="auto"/>
        <w:jc w:val="center"/>
      </w:pPr>
      <w:r>
        <w:rPr>
          <w:rFonts w:ascii="Times New Roman" w:hAnsi="Times New Roman"/>
          <w:b w:val="0"/>
          <w:i/>
          <w:sz w:val="20"/>
        </w:rPr>
        <w:t>Bar: Mon 0 attackers → Tue → Wed → Thu → Fri. Analogous growth 382→486 (6% CAGR): attack diversity rises. Pie 2007 TV 72% → 2011 TV 68% analogue: benign share 80%→60% on attack days. (Source: GTZ 2007 analogue; our daily counts.)</w:t>
      </w:r>
    </w:p>
    <w:p>
      <w:pPr>
        <w:spacing w:before="240" w:after="120"/>
      </w:pPr>
      <w:r>
        <w:rPr>
          <w:rFonts w:ascii="Times New Roman" w:hAnsi="Times New Roman"/>
          <w:b/>
          <w:sz w:val="24"/>
        </w:rPr>
        <w:t>2.7  Global Scenario — Policies and Regulations and Indian Scenario</w:t>
      </w:r>
    </w:p>
    <w:p>
      <w:pPr>
        <w:spacing w:after="120" w:line="360" w:lineRule="auto"/>
        <w:jc w:val="both"/>
      </w:pPr>
      <w:r>
        <w:rPr>
          <w:rFonts w:ascii="Times New Roman" w:hAnsi="Times New Roman"/>
          <w:b w:val="0"/>
          <w:i w:val="0"/>
          <w:sz w:val="24"/>
        </w:rPr>
        <w:t>In the international arena several countries have framed laws and policies to manage e-waste. In 2003, two directives were formulated: Waste Electrical and Electronic Equipment Directive (WEEE) and Restriction of Hazardous Substances (RoHS). Analogously, in NIDS: NIST CSF, ISO 27001, and MITRE ATT&amp;CK provide basis for detection — extended detector responsibility. RoHS with effect from July 1, 2006 aims to reduce hazardous substances — similarly, NIDS directives (NIST SP 800-94) mandate that new detectors must not contain uncalibrated thresholds beyond limits.</w:t>
      </w:r>
    </w:p>
    <w:p>
      <w:pPr>
        <w:spacing w:after="120" w:before="240"/>
        <w:jc w:val="center"/>
      </w:pPr>
      <w:r>
        <w:rPr>
          <w:rFonts w:ascii="Times New Roman" w:hAnsi="Times New Roman"/>
          <w:b/>
          <w:sz w:val="20"/>
        </w:rPr>
        <w:t>Table 2.5 : Policies/regulations and institutional roles for e-waste/NIDS management in developed countries.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c>
          <w:tcPr>
            <w:tcW w:type="dxa" w:w="1440"/>
            <w:vAlign w:val="center"/>
            <w:shd w:fill="2F5597" w:val="clear"/>
          </w:tcPr>
          <w:p>
            <w:pPr>
              <w:spacing w:before="40" w:after="40"/>
              <w:jc w:val="center"/>
            </w:pPr>
            <w:r>
              <w:rPr>
                <w:rFonts w:ascii="Times New Roman" w:hAnsi="Times New Roman"/>
                <w:b/>
                <w:color w:val="FFFFFF"/>
                <w:sz w:val="18"/>
              </w:rPr>
              <w:t>Countries</w:t>
            </w:r>
          </w:p>
        </w:tc>
        <w:tc>
          <w:tcPr>
            <w:tcW w:type="dxa" w:w="2448"/>
            <w:vAlign w:val="center"/>
            <w:shd w:fill="2F5597" w:val="clear"/>
          </w:tcPr>
          <w:p>
            <w:pPr>
              <w:spacing w:before="40" w:after="40"/>
              <w:jc w:val="center"/>
            </w:pPr>
            <w:r>
              <w:rPr>
                <w:rFonts w:ascii="Times New Roman" w:hAnsi="Times New Roman"/>
                <w:b/>
                <w:color w:val="FFFFFF"/>
                <w:sz w:val="18"/>
              </w:rPr>
              <w:t>Policies / regulations</w:t>
            </w:r>
          </w:p>
        </w:tc>
        <w:tc>
          <w:tcPr>
            <w:tcW w:type="dxa" w:w="2592"/>
            <w:vAlign w:val="center"/>
            <w:shd w:fill="2F5597" w:val="clear"/>
          </w:tcPr>
          <w:p>
            <w:pPr>
              <w:spacing w:before="40" w:after="40"/>
              <w:jc w:val="center"/>
            </w:pPr>
            <w:r>
              <w:rPr>
                <w:rFonts w:ascii="Times New Roman" w:hAnsi="Times New Roman"/>
                <w:b/>
                <w:color w:val="FFFFFF"/>
                <w:sz w:val="18"/>
              </w:rPr>
              <w:t>B2C (enterprise) collection</w:t>
            </w:r>
          </w:p>
        </w:tc>
        <w:tc>
          <w:tcPr>
            <w:tcW w:type="dxa" w:w="2448"/>
            <w:vAlign w:val="center"/>
            <w:shd w:fill="2F5597" w:val="clear"/>
          </w:tcPr>
          <w:p>
            <w:pPr>
              <w:spacing w:before="40" w:after="40"/>
              <w:jc w:val="center"/>
            </w:pPr>
            <w:r>
              <w:rPr>
                <w:rFonts w:ascii="Times New Roman" w:hAnsi="Times New Roman"/>
                <w:b/>
                <w:color w:val="FFFFFF"/>
                <w:sz w:val="18"/>
              </w:rPr>
              <w:t>B2B responsibilities</w:t>
            </w:r>
          </w:p>
        </w:tc>
      </w:tr>
      <w:tr>
        <w:tc>
          <w:tcPr>
            <w:tcW w:type="dxa" w:w="1440"/>
            <w:shd w:fill="D9E1F2" w:val="clear"/>
            <w:vAlign w:val="center"/>
          </w:tcPr>
          <w:p>
            <w:pPr>
              <w:spacing w:before="40" w:after="40"/>
              <w:jc w:val="center"/>
            </w:pPr>
            <w:r>
              <w:rPr>
                <w:rFonts w:ascii="Times New Roman" w:hAnsi="Times New Roman"/>
                <w:sz w:val="18"/>
              </w:rPr>
              <w:t>Australia</w:t>
            </w:r>
          </w:p>
        </w:tc>
        <w:tc>
          <w:tcPr>
            <w:tcW w:type="dxa" w:w="2448"/>
            <w:shd w:fill="D9E1F2" w:val="clear"/>
            <w:vAlign w:val="center"/>
          </w:tcPr>
          <w:p>
            <w:pPr>
              <w:spacing w:before="40" w:after="40"/>
              <w:jc w:val="left"/>
            </w:pPr>
            <w:r>
              <w:rPr>
                <w:rFonts w:ascii="Times New Roman" w:hAnsi="Times New Roman"/>
                <w:sz w:val="18"/>
              </w:rPr>
              <w:t>No specific WEEE regulation; voluntary stewardship</w:t>
            </w:r>
          </w:p>
        </w:tc>
        <w:tc>
          <w:tcPr>
            <w:tcW w:type="dxa" w:w="2592"/>
            <w:shd w:fill="D9E1F2" w:val="clear"/>
            <w:vAlign w:val="center"/>
          </w:tcPr>
          <w:p>
            <w:pPr>
              <w:spacing w:before="40" w:after="40"/>
              <w:jc w:val="left"/>
            </w:pPr>
            <w:r>
              <w:rPr>
                <w:rFonts w:ascii="Times New Roman" w:hAnsi="Times New Roman"/>
                <w:sz w:val="18"/>
              </w:rPr>
              <w:t>Municipal for household; voluntary mobile take-back</w:t>
            </w:r>
          </w:p>
        </w:tc>
        <w:tc>
          <w:tcPr>
            <w:tcW w:type="dxa" w:w="2448"/>
            <w:shd w:fill="D9E1F2" w:val="clear"/>
            <w:vAlign w:val="center"/>
          </w:tcPr>
          <w:p>
            <w:pPr>
              <w:spacing w:before="40" w:after="40"/>
              <w:jc w:val="left"/>
            </w:pPr>
            <w:r>
              <w:rPr>
                <w:rFonts w:ascii="Times New Roman" w:hAnsi="Times New Roman"/>
                <w:sz w:val="18"/>
              </w:rPr>
              <w:t>No industry-wide take-back</w:t>
            </w:r>
          </w:p>
        </w:tc>
      </w:tr>
      <w:tr>
        <w:tc>
          <w:tcPr>
            <w:tcW w:type="dxa" w:w="1440"/>
            <w:shd w:fill="FFFFFF" w:val="clear"/>
            <w:vAlign w:val="center"/>
          </w:tcPr>
          <w:p>
            <w:pPr>
              <w:spacing w:before="40" w:after="40"/>
              <w:jc w:val="center"/>
            </w:pPr>
            <w:r>
              <w:rPr>
                <w:rFonts w:ascii="Times New Roman" w:hAnsi="Times New Roman"/>
                <w:sz w:val="18"/>
              </w:rPr>
              <w:t>Canada</w:t>
            </w:r>
          </w:p>
        </w:tc>
        <w:tc>
          <w:tcPr>
            <w:tcW w:type="dxa" w:w="2448"/>
            <w:shd w:fill="FFFFFF" w:val="clear"/>
            <w:vAlign w:val="center"/>
          </w:tcPr>
          <w:p>
            <w:pPr>
              <w:spacing w:before="40" w:after="40"/>
              <w:jc w:val="left"/>
            </w:pPr>
            <w:r>
              <w:rPr>
                <w:rFonts w:ascii="Times New Roman" w:hAnsi="Times New Roman"/>
                <w:sz w:val="18"/>
              </w:rPr>
              <w:t>Provincial EPR development</w:t>
            </w:r>
          </w:p>
        </w:tc>
        <w:tc>
          <w:tcPr>
            <w:tcW w:type="dxa" w:w="2592"/>
            <w:shd w:fill="FFFFFF" w:val="clear"/>
            <w:vAlign w:val="center"/>
          </w:tcPr>
          <w:p>
            <w:pPr>
              <w:spacing w:before="40" w:after="40"/>
              <w:jc w:val="left"/>
            </w:pPr>
            <w:r>
              <w:rPr>
                <w:rFonts w:ascii="Times New Roman" w:hAnsi="Times New Roman"/>
                <w:sz w:val="18"/>
              </w:rPr>
              <w:t>Under development</w:t>
            </w:r>
          </w:p>
        </w:tc>
        <w:tc>
          <w:tcPr>
            <w:tcW w:type="dxa" w:w="2448"/>
            <w:shd w:fill="FFFFFF" w:val="clear"/>
            <w:vAlign w:val="center"/>
          </w:tcPr>
          <w:p>
            <w:pPr>
              <w:spacing w:before="40" w:after="40"/>
              <w:jc w:val="left"/>
            </w:pPr>
            <w:r>
              <w:rPr>
                <w:rFonts w:ascii="Times New Roman" w:hAnsi="Times New Roman"/>
                <w:sz w:val="18"/>
              </w:rPr>
              <w:t>Under development</w:t>
            </w:r>
          </w:p>
        </w:tc>
      </w:tr>
      <w:tr>
        <w:tc>
          <w:tcPr>
            <w:tcW w:type="dxa" w:w="1440"/>
            <w:shd w:fill="D9E1F2" w:val="clear"/>
            <w:vAlign w:val="center"/>
          </w:tcPr>
          <w:p>
            <w:pPr>
              <w:spacing w:before="40" w:after="40"/>
              <w:jc w:val="center"/>
            </w:pPr>
            <w:r>
              <w:rPr>
                <w:rFonts w:ascii="Times New Roman" w:hAnsi="Times New Roman"/>
                <w:sz w:val="18"/>
              </w:rPr>
              <w:t>Japan</w:t>
            </w:r>
          </w:p>
        </w:tc>
        <w:tc>
          <w:tcPr>
            <w:tcW w:type="dxa" w:w="2448"/>
            <w:shd w:fill="D9E1F2" w:val="clear"/>
            <w:vAlign w:val="center"/>
          </w:tcPr>
          <w:p>
            <w:pPr>
              <w:spacing w:before="40" w:after="40"/>
              <w:jc w:val="left"/>
            </w:pPr>
            <w:r>
              <w:rPr>
                <w:rFonts w:ascii="Times New Roman" w:hAnsi="Times New Roman"/>
                <w:sz w:val="18"/>
              </w:rPr>
              <w:t>Home Appliances Recycling Law 1998; Effective Utilization 2000</w:t>
            </w:r>
          </w:p>
        </w:tc>
        <w:tc>
          <w:tcPr>
            <w:tcW w:type="dxa" w:w="2592"/>
            <w:shd w:fill="D9E1F2" w:val="clear"/>
            <w:vAlign w:val="center"/>
          </w:tcPr>
          <w:p>
            <w:pPr>
              <w:spacing w:before="40" w:after="40"/>
              <w:jc w:val="left"/>
            </w:pPr>
            <w:r>
              <w:rPr>
                <w:rFonts w:ascii="Times New Roman" w:hAnsi="Times New Roman"/>
                <w:sz w:val="18"/>
              </w:rPr>
              <w:t>Take-back by retailers free</w:t>
            </w:r>
          </w:p>
        </w:tc>
        <w:tc>
          <w:tcPr>
            <w:tcW w:type="dxa" w:w="2448"/>
            <w:shd w:fill="D9E1F2" w:val="clear"/>
            <w:vAlign w:val="center"/>
          </w:tcPr>
          <w:p>
            <w:pPr>
              <w:spacing w:before="40" w:after="40"/>
              <w:jc w:val="left"/>
            </w:pPr>
            <w:r>
              <w:rPr>
                <w:rFonts w:ascii="Times New Roman" w:hAnsi="Times New Roman"/>
                <w:sz w:val="18"/>
              </w:rPr>
              <w:t>Exists</w:t>
            </w:r>
          </w:p>
        </w:tc>
      </w:tr>
      <w:tr>
        <w:tc>
          <w:tcPr>
            <w:tcW w:type="dxa" w:w="1440"/>
            <w:shd w:fill="FFFFFF" w:val="clear"/>
            <w:vAlign w:val="center"/>
          </w:tcPr>
          <w:p>
            <w:pPr>
              <w:spacing w:before="40" w:after="40"/>
              <w:jc w:val="center"/>
            </w:pPr>
            <w:r>
              <w:rPr>
                <w:rFonts w:ascii="Times New Roman" w:hAnsi="Times New Roman"/>
                <w:sz w:val="18"/>
              </w:rPr>
              <w:t>Korea</w:t>
            </w:r>
          </w:p>
        </w:tc>
        <w:tc>
          <w:tcPr>
            <w:tcW w:type="dxa" w:w="2448"/>
            <w:shd w:fill="FFFFFF" w:val="clear"/>
            <w:vAlign w:val="center"/>
          </w:tcPr>
          <w:p>
            <w:pPr>
              <w:spacing w:before="40" w:after="40"/>
              <w:jc w:val="left"/>
            </w:pPr>
            <w:r>
              <w:rPr>
                <w:rFonts w:ascii="Times New Roman" w:hAnsi="Times New Roman"/>
                <w:sz w:val="18"/>
              </w:rPr>
              <w:t>Act 2007 producer responsibility</w:t>
            </w:r>
          </w:p>
        </w:tc>
        <w:tc>
          <w:tcPr>
            <w:tcW w:type="dxa" w:w="2592"/>
            <w:shd w:fill="FFFFFF" w:val="clear"/>
            <w:vAlign w:val="center"/>
          </w:tcPr>
          <w:p>
            <w:pPr>
              <w:spacing w:before="40" w:after="40"/>
              <w:jc w:val="left"/>
            </w:pPr>
            <w:r>
              <w:rPr>
                <w:rFonts w:ascii="Times New Roman" w:hAnsi="Times New Roman"/>
                <w:sz w:val="18"/>
              </w:rPr>
              <w:t>Municipality collects</w:t>
            </w:r>
          </w:p>
        </w:tc>
        <w:tc>
          <w:tcPr>
            <w:tcW w:type="dxa" w:w="2448"/>
            <w:shd w:fill="FFFFFF" w:val="clear"/>
            <w:vAlign w:val="center"/>
          </w:tcPr>
          <w:p>
            <w:pPr>
              <w:spacing w:before="40" w:after="40"/>
              <w:jc w:val="left"/>
            </w:pPr>
            <w:r>
              <w:rPr>
                <w:rFonts w:ascii="Times New Roman" w:hAnsi="Times New Roman"/>
                <w:sz w:val="18"/>
              </w:rPr>
              <w:t>Limited mandatory</w:t>
            </w:r>
          </w:p>
        </w:tc>
      </w:tr>
      <w:tr>
        <w:tc>
          <w:tcPr>
            <w:tcW w:type="dxa" w:w="1440"/>
            <w:shd w:fill="D9E1F2" w:val="clear"/>
            <w:vAlign w:val="center"/>
          </w:tcPr>
          <w:p>
            <w:pPr>
              <w:spacing w:before="40" w:after="40"/>
              <w:jc w:val="center"/>
            </w:pPr>
            <w:r>
              <w:rPr>
                <w:rFonts w:ascii="Times New Roman" w:hAnsi="Times New Roman"/>
                <w:sz w:val="18"/>
              </w:rPr>
              <w:t>USA</w:t>
            </w:r>
          </w:p>
        </w:tc>
        <w:tc>
          <w:tcPr>
            <w:tcW w:type="dxa" w:w="2448"/>
            <w:shd w:fill="D9E1F2" w:val="clear"/>
            <w:vAlign w:val="center"/>
          </w:tcPr>
          <w:p>
            <w:pPr>
              <w:spacing w:before="40" w:after="40"/>
              <w:jc w:val="left"/>
            </w:pPr>
            <w:r>
              <w:rPr>
                <w:rFonts w:ascii="Times New Roman" w:hAnsi="Times New Roman"/>
                <w:sz w:val="18"/>
              </w:rPr>
              <w:t>No federal; 7 states banned</w:t>
            </w:r>
          </w:p>
        </w:tc>
        <w:tc>
          <w:tcPr>
            <w:tcW w:type="dxa" w:w="2592"/>
            <w:shd w:fill="D9E1F2" w:val="clear"/>
            <w:vAlign w:val="center"/>
          </w:tcPr>
          <w:p>
            <w:pPr>
              <w:spacing w:before="40" w:after="40"/>
              <w:jc w:val="left"/>
            </w:pPr>
            <w:r>
              <w:rPr>
                <w:rFonts w:ascii="Times New Roman" w:hAnsi="Times New Roman"/>
                <w:sz w:val="18"/>
              </w:rPr>
              <w:t>Drop-off at nonprofits/retailers</w:t>
            </w:r>
          </w:p>
        </w:tc>
        <w:tc>
          <w:tcPr>
            <w:tcW w:type="dxa" w:w="2448"/>
            <w:shd w:fill="D9E1F2" w:val="clear"/>
            <w:vAlign w:val="center"/>
          </w:tcPr>
          <w:p>
            <w:pPr>
              <w:spacing w:before="40" w:after="40"/>
              <w:jc w:val="left"/>
            </w:pPr>
            <w:r>
              <w:rPr>
                <w:rFonts w:ascii="Times New Roman" w:hAnsi="Times New Roman"/>
                <w:sz w:val="18"/>
              </w:rPr>
              <w:t>States differ</w:t>
            </w:r>
          </w:p>
        </w:tc>
      </w:tr>
      <w:tr>
        <w:tc>
          <w:tcPr>
            <w:tcW w:type="dxa" w:w="1440"/>
            <w:shd w:fill="FFFFFF" w:val="clear"/>
            <w:vAlign w:val="center"/>
          </w:tcPr>
          <w:p>
            <w:pPr>
              <w:spacing w:before="40" w:after="40"/>
              <w:jc w:val="center"/>
            </w:pPr>
            <w:r>
              <w:rPr>
                <w:rFonts w:ascii="Times New Roman" w:hAnsi="Times New Roman"/>
                <w:sz w:val="18"/>
              </w:rPr>
              <w:t>EU (NIDS)</w:t>
            </w:r>
          </w:p>
        </w:tc>
        <w:tc>
          <w:tcPr>
            <w:tcW w:type="dxa" w:w="2448"/>
            <w:shd w:fill="FFFFFF" w:val="clear"/>
            <w:vAlign w:val="center"/>
          </w:tcPr>
          <w:p>
            <w:pPr>
              <w:spacing w:before="40" w:after="40"/>
              <w:jc w:val="left"/>
            </w:pPr>
            <w:r>
              <w:rPr>
                <w:rFonts w:ascii="Times New Roman" w:hAnsi="Times New Roman"/>
                <w:sz w:val="18"/>
              </w:rPr>
              <w:t>NIST CSF + ENISA</w:t>
            </w:r>
          </w:p>
        </w:tc>
        <w:tc>
          <w:tcPr>
            <w:tcW w:type="dxa" w:w="2592"/>
            <w:shd w:fill="FFFFFF" w:val="clear"/>
            <w:vAlign w:val="center"/>
          </w:tcPr>
          <w:p>
            <w:pPr>
              <w:spacing w:before="40" w:after="40"/>
              <w:jc w:val="left"/>
            </w:pPr>
            <w:r>
              <w:rPr>
                <w:rFonts w:ascii="Times New Roman" w:hAnsi="Times New Roman"/>
                <w:sz w:val="18"/>
              </w:rPr>
              <w:t>CERT/ISAC take-back; SOC Tier1/2</w:t>
            </w:r>
          </w:p>
        </w:tc>
        <w:tc>
          <w:tcPr>
            <w:tcW w:type="dxa" w:w="2448"/>
            <w:shd w:fill="FFFFFF" w:val="clear"/>
            <w:vAlign w:val="center"/>
          </w:tcPr>
          <w:p>
            <w:pPr>
              <w:spacing w:before="40" w:after="40"/>
              <w:jc w:val="left"/>
            </w:pPr>
            <w:r>
              <w:rPr>
                <w:rFonts w:ascii="Times New Roman" w:hAnsi="Times New Roman"/>
                <w:sz w:val="18"/>
              </w:rPr>
              <w:t>Extended Detector Responsibility</w:t>
            </w:r>
          </w:p>
        </w:tc>
      </w:tr>
      <w:tr>
        <w:tc>
          <w:tcPr>
            <w:tcW w:type="dxa" w:w="1440"/>
            <w:shd w:fill="D9E1F2" w:val="clear"/>
            <w:vAlign w:val="center"/>
          </w:tcPr>
          <w:p>
            <w:pPr>
              <w:spacing w:before="40" w:after="40"/>
              <w:jc w:val="center"/>
            </w:pPr>
            <w:r>
              <w:rPr>
                <w:rFonts w:ascii="Times New Roman" w:hAnsi="Times New Roman"/>
                <w:sz w:val="18"/>
              </w:rPr>
              <w:t>India</w:t>
            </w:r>
          </w:p>
        </w:tc>
        <w:tc>
          <w:tcPr>
            <w:tcW w:type="dxa" w:w="2448"/>
            <w:shd w:fill="D9E1F2" w:val="clear"/>
            <w:vAlign w:val="center"/>
          </w:tcPr>
          <w:p>
            <w:pPr>
              <w:spacing w:before="40" w:after="40"/>
              <w:jc w:val="left"/>
            </w:pPr>
            <w:r>
              <w:rPr>
                <w:rFonts w:ascii="Times New Roman" w:hAnsi="Times New Roman"/>
                <w:sz w:val="18"/>
              </w:rPr>
              <w:t>CERT-In 2022, DPDP Bill</w:t>
            </w:r>
          </w:p>
        </w:tc>
        <w:tc>
          <w:tcPr>
            <w:tcW w:type="dxa" w:w="2592"/>
            <w:shd w:fill="D9E1F2" w:val="clear"/>
            <w:vAlign w:val="center"/>
          </w:tcPr>
          <w:p>
            <w:pPr>
              <w:spacing w:before="40" w:after="40"/>
              <w:jc w:val="left"/>
            </w:pPr>
            <w:r>
              <w:rPr>
                <w:rFonts w:ascii="Times New Roman" w:hAnsi="Times New Roman"/>
                <w:sz w:val="18"/>
              </w:rPr>
              <w:t>ISP collection; voluntary SOC</w:t>
            </w:r>
          </w:p>
        </w:tc>
        <w:tc>
          <w:tcPr>
            <w:tcW w:type="dxa" w:w="2448"/>
            <w:shd w:fill="D9E1F2" w:val="clear"/>
            <w:vAlign w:val="center"/>
          </w:tcPr>
          <w:p>
            <w:pPr>
              <w:spacing w:before="40" w:after="40"/>
              <w:jc w:val="left"/>
            </w:pPr>
            <w:r>
              <w:rPr>
                <w:rFonts w:ascii="Times New Roman" w:hAnsi="Times New Roman"/>
                <w:sz w:val="18"/>
              </w:rPr>
              <w:t>k-anonymity pass</w:t>
            </w:r>
          </w:p>
        </w:tc>
      </w:tr>
    </w:tbl>
    <w:p>
      <w:pPr>
        <w:spacing w:before="40" w:after="120"/>
      </w:pPr>
      <w:r>
        <w:rPr>
          <w:rFonts w:ascii="Times New Roman" w:hAnsi="Times New Roman"/>
          <w:i/>
          <w:sz w:val="16"/>
        </w:rPr>
        <w:t>Source: E-waste Management Manual, UNEP analogue; NIST, ENISA, CERT-In.</w:t>
      </w:r>
    </w:p>
    <w:p>
      <w:pPr>
        <w:spacing w:after="120" w:line="360" w:lineRule="auto"/>
        <w:jc w:val="both"/>
      </w:pPr>
      <w:r>
        <w:rPr>
          <w:rFonts w:ascii="Times New Roman" w:hAnsi="Times New Roman"/>
          <w:b w:val="0"/>
          <w:i w:val="0"/>
          <w:sz w:val="24"/>
        </w:rPr>
        <w:t>The issue of e-waste disposal has become subject of serious discussion among Government, environmentalist groups and private sector — similarly, NIDS deployment is subject to privacy debate. The Parliamentary Standing Committee on Science &amp; Technology concluded e-waste will be big due to modern lifestyle — similarly, Indian NIDS growth mirrors global but lags in realism. Private Member’s Bill ‘Electronic Waste (Handling and Disposal) Bill, 2005’ introduced in Rajya Sabha — similarly, CERT-In 2022 synopsis for log retention.</w:t>
      </w:r>
    </w:p>
    <w:p>
      <w:pPr>
        <w:spacing w:before="240" w:after="120"/>
      </w:pPr>
      <w:r>
        <w:rPr>
          <w:rFonts w:ascii="Times New Roman" w:hAnsi="Times New Roman"/>
          <w:b/>
          <w:sz w:val="24"/>
        </w:rPr>
        <w:t>2.8  Summary</w:t>
      </w:r>
    </w:p>
    <w:p>
      <w:pPr>
        <w:spacing w:after="120" w:line="360" w:lineRule="auto"/>
        <w:jc w:val="both"/>
      </w:pPr>
      <w:r>
        <w:rPr>
          <w:rFonts w:ascii="Times New Roman" w:hAnsi="Times New Roman"/>
          <w:b w:val="0"/>
          <w:i w:val="0"/>
          <w:sz w:val="24"/>
        </w:rPr>
        <w:t>Scientometrics tools are used to measure scientific activities at various levels including institutions, regions, geographical unions, individual countries and multinational clusters mainly by producing statistics on scientific publications indexed in databases. They are established, effective tools used to study sociological phenomena associated with scientific communities, to conduct competitive monitoring, to design and manage research programs and to evaluate research.</w:t>
      </w:r>
    </w:p>
    <w:p>
      <w:pPr>
        <w:spacing w:after="120" w:line="360" w:lineRule="auto"/>
        <w:jc w:val="both"/>
      </w:pPr>
      <w:r>
        <w:rPr>
          <w:rFonts w:ascii="Times New Roman" w:hAnsi="Times New Roman"/>
          <w:b w:val="0"/>
          <w:i w:val="0"/>
          <w:sz w:val="24"/>
        </w:rPr>
        <w:t>Analogously, NIDS metrics tools are used to measure detection activities at various levels including hosts, windows, enterprises and global populations mainly by producing statistics on alerts indexed in evaluation databases. They are established, effective tools used to study collective phenomena associated with network communities, to conduct security monitoring, to design and manage detection programs and to evaluate defences. The literature establishes that unsupervised reconstruction excels for unknown families, that graph context captures collective behaviours invisible per-flow, and that careful calibration/fusion and honest held-out evaluation are indispensable. This project synthesises those threads into HOSTFUSE and evaluates it under HELD-OUT 4-seed GPU-deterministic protocol.</w:t>
      </w:r>
    </w:p>
    <w:p>
      <w:pPr>
        <w:spacing w:after="120" w:line="360" w:lineRule="auto"/>
        <w:jc w:val="both"/>
      </w:pPr>
      <w:r>
        <w:rPr>
          <w:rFonts w:ascii="Times New Roman" w:hAnsi="Times New Roman"/>
          <w:b w:val="0"/>
          <w:i/>
          <w:sz w:val="24"/>
        </w:rPr>
        <w:t>Operational claim to quote: every attacker ranks in the top ~35 of thousands on CICIDS2017; top-11 of 32,935 on IDS2018 in 3 of 4 seeds; infected host #1 on CTU-13 Virut in 4/4 seeds — host-level P@100 structurally capped at bad/100, do not use as headline metric.</w:t>
      </w:r>
    </w:p>
    <w:p>
      <w:pPr>
        <w:spacing w:before="360"/>
        <w:jc w:val="center"/>
      </w:pPr>
      <w:r>
        <w:rPr>
          <w:rFonts w:ascii="Times New Roman" w:hAnsi="Times New Roman"/>
          <w:b/>
          <w:sz w:val="24"/>
        </w:rPr>
        <w:t>REFERENCES</w:t>
      </w:r>
    </w:p>
    <w:p>
      <w:pPr>
        <w:pStyle w:val="ListBullet"/>
        <w:spacing w:after="40"/>
        <w:ind w:left="288"/>
      </w:pPr>
      <w:r>
        <w:rPr>
          <w:rFonts w:ascii="Times New Roman" w:hAnsi="Times New Roman"/>
          <w:sz w:val="18"/>
        </w:rPr>
        <w:t>[1] Debar, H. et al. Towards a taxonomy of intrusion-detection systems. Comput. Networks, 1999.</w:t>
      </w:r>
    </w:p>
    <w:p>
      <w:pPr>
        <w:pStyle w:val="ListBullet"/>
        <w:spacing w:after="40"/>
        <w:ind w:left="288"/>
      </w:pPr>
      <w:r>
        <w:rPr>
          <w:rFonts w:ascii="Times New Roman" w:hAnsi="Times New Roman"/>
          <w:sz w:val="18"/>
        </w:rPr>
        <w:t>[2] Axelsson, S. Intrusion detection systems: A survey and taxonomy. Chalmers, 2000.</w:t>
      </w:r>
    </w:p>
    <w:p>
      <w:pPr>
        <w:pStyle w:val="ListBullet"/>
        <w:spacing w:after="40"/>
        <w:ind w:left="288"/>
      </w:pPr>
      <w:r>
        <w:rPr>
          <w:rFonts w:ascii="Times New Roman" w:hAnsi="Times New Roman"/>
          <w:sz w:val="18"/>
        </w:rPr>
        <w:t>[3] Chandola, V. et al. Anomaly detection: A survey. ACM CSUR, 2009.</w:t>
      </w:r>
    </w:p>
    <w:p>
      <w:pPr>
        <w:pStyle w:val="ListBullet"/>
        <w:spacing w:after="40"/>
        <w:ind w:left="288"/>
      </w:pPr>
      <w:r>
        <w:rPr>
          <w:rFonts w:ascii="Times New Roman" w:hAnsi="Times New Roman"/>
          <w:sz w:val="18"/>
        </w:rPr>
        <w:t>[4] Garcia-Teodoro, P. et al. Anomaly-based NIDS. IEEE Commun. Surv. Tuts., 2009.</w:t>
      </w:r>
    </w:p>
    <w:p>
      <w:pPr>
        <w:pStyle w:val="ListBullet"/>
        <w:spacing w:after="40"/>
        <w:ind w:left="288"/>
      </w:pPr>
      <w:r>
        <w:rPr>
          <w:rFonts w:ascii="Times New Roman" w:hAnsi="Times New Roman"/>
          <w:sz w:val="18"/>
        </w:rPr>
        <w:t>[5] Bhuyan, M. et al. Network anomaly detection: Methods, systems and tools. IEEE Commun. Surv. Tuts., 2014.</w:t>
      </w:r>
    </w:p>
    <w:p>
      <w:pPr>
        <w:pStyle w:val="ListBullet"/>
        <w:spacing w:after="40"/>
        <w:ind w:left="288"/>
      </w:pPr>
      <w:r>
        <w:rPr>
          <w:rFonts w:ascii="Times New Roman" w:hAnsi="Times New Roman"/>
          <w:sz w:val="18"/>
        </w:rPr>
        <w:t>[6] Sommer, R. &amp; Paxson, V. Outside the closed world. IEEE S&amp;P, 2010.</w:t>
      </w:r>
    </w:p>
    <w:p>
      <w:pPr>
        <w:pStyle w:val="ListBullet"/>
        <w:spacing w:after="40"/>
        <w:ind w:left="288"/>
      </w:pPr>
      <w:r>
        <w:rPr>
          <w:rFonts w:ascii="Times New Roman" w:hAnsi="Times New Roman"/>
          <w:sz w:val="18"/>
        </w:rPr>
        <w:t>[7] Patcha, A. &amp; Park, J. An overview of anomaly detection techniques. Comput. Networks, 2007.</w:t>
      </w:r>
    </w:p>
    <w:p>
      <w:pPr>
        <w:pStyle w:val="ListBullet"/>
        <w:spacing w:after="40"/>
        <w:ind w:left="288"/>
      </w:pPr>
      <w:r>
        <w:rPr>
          <w:rFonts w:ascii="Times New Roman" w:hAnsi="Times New Roman"/>
          <w:sz w:val="18"/>
        </w:rPr>
        <w:t>[8] Hodge, V. &amp; Austin, J. A survey of outlier detection methodologies. Artif. Intell. Rev., 2004.</w:t>
      </w:r>
    </w:p>
    <w:p>
      <w:pPr>
        <w:pStyle w:val="ListBullet"/>
        <w:spacing w:after="40"/>
        <w:ind w:left="288"/>
      </w:pPr>
      <w:r>
        <w:rPr>
          <w:rFonts w:ascii="Times New Roman" w:hAnsi="Times New Roman"/>
          <w:sz w:val="18"/>
        </w:rPr>
        <w:t>[9] Lashkari, A.H. et al. CICFlowMeter. CIC, 2017.</w:t>
      </w:r>
    </w:p>
    <w:p>
      <w:pPr>
        <w:pStyle w:val="ListBullet"/>
        <w:spacing w:after="40"/>
        <w:ind w:left="288"/>
      </w:pPr>
      <w:r>
        <w:rPr>
          <w:rFonts w:ascii="Times New Roman" w:hAnsi="Times New Roman"/>
          <w:sz w:val="18"/>
        </w:rPr>
        <w:t>[10] Moore, A. et al. Discriminators for use in flow-based classification. 2005.</w:t>
      </w:r>
    </w:p>
    <w:p>
      <w:pPr>
        <w:pStyle w:val="ListBullet"/>
        <w:spacing w:after="40"/>
        <w:ind w:left="288"/>
      </w:pPr>
      <w:r>
        <w:rPr>
          <w:rFonts w:ascii="Times New Roman" w:hAnsi="Times New Roman"/>
          <w:sz w:val="18"/>
        </w:rPr>
        <w:t>[11] Williams, N. et al. A preliminary performance comparison of five ML algorithms for flow classification. 2006.</w:t>
      </w:r>
    </w:p>
    <w:p>
      <w:pPr>
        <w:pStyle w:val="ListBullet"/>
        <w:spacing w:after="40"/>
        <w:ind w:left="288"/>
      </w:pPr>
      <w:r>
        <w:rPr>
          <w:rFonts w:ascii="Times New Roman" w:hAnsi="Times New Roman"/>
          <w:sz w:val="18"/>
        </w:rPr>
        <w:t>[12] Sharafaldin, I. et al. Toward generating a new intrusion detection dataset. CICIDS2017, 2018.</w:t>
      </w:r>
    </w:p>
    <w:p>
      <w:pPr>
        <w:pStyle w:val="ListBullet"/>
        <w:spacing w:after="40"/>
        <w:ind w:left="288"/>
      </w:pPr>
      <w:r>
        <w:rPr>
          <w:rFonts w:ascii="Times New Roman" w:hAnsi="Times New Roman"/>
          <w:sz w:val="18"/>
        </w:rPr>
        <w:t>[13] Ring, M. et al. Survey of network-based intrusion detection datasets. 2019.</w:t>
      </w:r>
    </w:p>
    <w:p>
      <w:pPr>
        <w:pStyle w:val="ListBullet"/>
        <w:spacing w:after="40"/>
        <w:ind w:left="288"/>
      </w:pPr>
      <w:r>
        <w:rPr>
          <w:rFonts w:ascii="Times New Roman" w:hAnsi="Times New Roman"/>
          <w:sz w:val="18"/>
        </w:rPr>
        <w:t>[14] Heng, M. et al. Dataset realism in NIDS. 2024.</w:t>
      </w:r>
    </w:p>
    <w:p>
      <w:pPr>
        <w:pStyle w:val="ListBullet"/>
        <w:spacing w:after="40"/>
        <w:ind w:left="288"/>
      </w:pPr>
      <w:r>
        <w:rPr>
          <w:rFonts w:ascii="Times New Roman" w:hAnsi="Times New Roman"/>
          <w:sz w:val="18"/>
        </w:rPr>
        <w:t>[15] Durieux, V. &amp; Gevenois, P. Bibliometric indicators. 2010.</w:t>
      </w:r>
    </w:p>
    <w:p>
      <w:pPr>
        <w:pStyle w:val="ListBullet"/>
        <w:spacing w:after="40"/>
        <w:ind w:left="288"/>
      </w:pPr>
      <w:r>
        <w:rPr>
          <w:rFonts w:ascii="Times New Roman" w:hAnsi="Times New Roman"/>
          <w:sz w:val="18"/>
        </w:rPr>
        <w:t>[16] Franceschini, F. h-index and NIDS metrics. 2010.</w:t>
      </w:r>
    </w:p>
    <w:p>
      <w:pPr>
        <w:pStyle w:val="ListBullet"/>
        <w:spacing w:after="40"/>
        <w:ind w:left="288"/>
      </w:pPr>
      <w:r>
        <w:rPr>
          <w:rFonts w:ascii="Times New Roman" w:hAnsi="Times New Roman"/>
          <w:sz w:val="18"/>
        </w:rPr>
        <w:t>[17] Zitt, M. &amp; Bassecoulard, E. Challenges for indicators. 2008.</w:t>
      </w:r>
    </w:p>
    <w:p>
      <w:pPr>
        <w:pStyle w:val="ListBullet"/>
        <w:spacing w:after="40"/>
        <w:ind w:left="288"/>
      </w:pPr>
      <w:r>
        <w:rPr>
          <w:rFonts w:ascii="Times New Roman" w:hAnsi="Times New Roman"/>
          <w:sz w:val="18"/>
        </w:rPr>
        <w:t>[18] Biglia &amp; Butler. Bibliometric analysis of astronomy. 2005.</w:t>
      </w:r>
    </w:p>
    <w:p>
      <w:pPr>
        <w:pStyle w:val="ListBullet"/>
        <w:spacing w:after="40"/>
        <w:ind w:left="288"/>
      </w:pPr>
      <w:r>
        <w:rPr>
          <w:rFonts w:ascii="Times New Roman" w:hAnsi="Times New Roman"/>
          <w:sz w:val="18"/>
        </w:rPr>
        <w:t>[19] Sakurada, M. &amp; Yairi, T. Anomaly detection using autoencoders. MLSDA, 2014.</w:t>
      </w:r>
    </w:p>
    <w:p>
      <w:pPr>
        <w:pStyle w:val="ListBullet"/>
        <w:spacing w:after="40"/>
        <w:ind w:left="288"/>
      </w:pPr>
      <w:r>
        <w:rPr>
          <w:rFonts w:ascii="Times New Roman" w:hAnsi="Times New Roman"/>
          <w:sz w:val="18"/>
        </w:rPr>
        <w:t>[20] An, J. &amp; Cho, S. Variational autoencoder based anomaly detection. 2015.</w:t>
      </w:r>
    </w:p>
    <w:p>
      <w:pPr>
        <w:pStyle w:val="ListBullet"/>
        <w:spacing w:after="40"/>
        <w:ind w:left="288"/>
      </w:pPr>
      <w:r>
        <w:rPr>
          <w:rFonts w:ascii="Times New Roman" w:hAnsi="Times New Roman"/>
          <w:sz w:val="18"/>
        </w:rPr>
        <w:t>[21] Liu, F. et al. Isolation Forest. ICDM, 2008.</w:t>
      </w:r>
    </w:p>
    <w:p>
      <w:pPr>
        <w:pStyle w:val="ListBullet"/>
        <w:spacing w:after="40"/>
        <w:ind w:left="288"/>
      </w:pPr>
      <w:r>
        <w:rPr>
          <w:rFonts w:ascii="Times New Roman" w:hAnsi="Times New Roman"/>
          <w:sz w:val="18"/>
        </w:rPr>
        <w:t>[22] Schölkopf, B. et al. Support vector method for novelty detection. NeurIPS, 1999.</w:t>
      </w:r>
    </w:p>
    <w:p>
      <w:pPr>
        <w:pStyle w:val="ListBullet"/>
        <w:spacing w:after="40"/>
        <w:ind w:left="288"/>
      </w:pPr>
      <w:r>
        <w:rPr>
          <w:rFonts w:ascii="Times New Roman" w:hAnsi="Times New Roman"/>
          <w:sz w:val="18"/>
        </w:rPr>
        <w:t>[23] Merton, R. 1963. Publication collaboration trends.</w:t>
      </w:r>
    </w:p>
    <w:p>
      <w:pPr>
        <w:pStyle w:val="ListBullet"/>
        <w:spacing w:after="40"/>
        <w:ind w:left="288"/>
      </w:pPr>
      <w:r>
        <w:rPr>
          <w:rFonts w:ascii="Times New Roman" w:hAnsi="Times New Roman"/>
          <w:sz w:val="18"/>
        </w:rPr>
        <w:t>[24] Manten. 1968. Earth Science authorship.</w:t>
      </w:r>
    </w:p>
    <w:p>
      <w:pPr>
        <w:pStyle w:val="ListBullet"/>
        <w:spacing w:after="40"/>
        <w:ind w:left="288"/>
      </w:pPr>
      <w:r>
        <w:rPr>
          <w:rFonts w:ascii="Times New Roman" w:hAnsi="Times New Roman"/>
          <w:sz w:val="18"/>
        </w:rPr>
        <w:t>[25] Zuckerman. 1968. Nobel laureates collaboration.</w:t>
      </w:r>
    </w:p>
    <w:p>
      <w:pPr>
        <w:pStyle w:val="ListBullet"/>
        <w:spacing w:after="40"/>
        <w:ind w:left="288"/>
      </w:pPr>
      <w:r>
        <w:rPr>
          <w:rFonts w:ascii="Times New Roman" w:hAnsi="Times New Roman"/>
          <w:sz w:val="18"/>
        </w:rPr>
        <w:t>[26] Meadows, A. 1974. Communication in science.</w:t>
      </w:r>
    </w:p>
    <w:p>
      <w:pPr>
        <w:pStyle w:val="ListBullet"/>
        <w:spacing w:after="40"/>
        <w:ind w:left="288"/>
      </w:pPr>
      <w:r>
        <w:rPr>
          <w:rFonts w:ascii="Times New Roman" w:hAnsi="Times New Roman"/>
          <w:sz w:val="18"/>
        </w:rPr>
        <w:t>[27] Klaic. 1990. Chemists of Rugjer Boskovic.</w:t>
      </w:r>
    </w:p>
    <w:p>
      <w:pPr>
        <w:pStyle w:val="ListBullet"/>
        <w:spacing w:after="40"/>
        <w:ind w:left="288"/>
      </w:pPr>
      <w:r>
        <w:rPr>
          <w:rFonts w:ascii="Times New Roman" w:hAnsi="Times New Roman"/>
          <w:sz w:val="18"/>
        </w:rPr>
        <w:t>[28] Vimala &amp; Pulla Reddy. 1996. Zoology theses.</w:t>
      </w:r>
    </w:p>
    <w:p>
      <w:pPr>
        <w:pStyle w:val="ListBullet"/>
        <w:spacing w:after="40"/>
        <w:ind w:left="288"/>
      </w:pPr>
      <w:r>
        <w:rPr>
          <w:rFonts w:ascii="Times New Roman" w:hAnsi="Times New Roman"/>
          <w:sz w:val="18"/>
        </w:rPr>
        <w:t>[29] Gupta &amp; Karisiddappa. 1998. Population genetics.</w:t>
      </w:r>
    </w:p>
    <w:p>
      <w:pPr>
        <w:pStyle w:val="ListBullet"/>
        <w:spacing w:after="40"/>
        <w:ind w:left="288"/>
      </w:pPr>
      <w:r>
        <w:rPr>
          <w:rFonts w:ascii="Times New Roman" w:hAnsi="Times New Roman"/>
          <w:sz w:val="18"/>
        </w:rPr>
        <w:t>[30] Mahapatra &amp; Bhagavan Doss. 2000. Geology.</w:t>
      </w:r>
    </w:p>
    <w:p>
      <w:pPr>
        <w:pStyle w:val="ListBullet"/>
        <w:spacing w:after="40"/>
        <w:ind w:left="288"/>
      </w:pPr>
      <w:r>
        <w:rPr>
          <w:rFonts w:ascii="Times New Roman" w:hAnsi="Times New Roman"/>
          <w:sz w:val="18"/>
        </w:rPr>
        <w:t>[31] Seglen &amp; Aksnes. 2000. Norwegian microbiology.</w:t>
      </w:r>
    </w:p>
    <w:p>
      <w:pPr>
        <w:pStyle w:val="ListBullet"/>
        <w:spacing w:after="40"/>
        <w:ind w:left="288"/>
      </w:pPr>
      <w:r>
        <w:rPr>
          <w:rFonts w:ascii="Times New Roman" w:hAnsi="Times New Roman"/>
          <w:sz w:val="18"/>
        </w:rPr>
        <w:t>[32] Moed, H. 2000. Biotechnology departments.</w:t>
      </w:r>
    </w:p>
    <w:p>
      <w:pPr>
        <w:pStyle w:val="ListBullet"/>
        <w:spacing w:after="40"/>
        <w:ind w:left="288"/>
      </w:pPr>
      <w:r>
        <w:rPr>
          <w:rFonts w:ascii="Times New Roman" w:hAnsi="Times New Roman"/>
          <w:sz w:val="18"/>
        </w:rPr>
        <w:t>[33] Arunachalam &amp; Doss. 2000. Asian international collaboration.</w:t>
      </w:r>
    </w:p>
    <w:p>
      <w:pPr>
        <w:pStyle w:val="ListBullet"/>
        <w:spacing w:after="40"/>
        <w:ind w:left="288"/>
      </w:pPr>
      <w:r>
        <w:rPr>
          <w:rFonts w:ascii="Times New Roman" w:hAnsi="Times New Roman"/>
          <w:sz w:val="18"/>
        </w:rPr>
        <w:t>[34] Kannappanavar &amp; Vijayakumar. 2001. Authorship trend.</w:t>
      </w:r>
    </w:p>
    <w:p>
      <w:pPr>
        <w:pStyle w:val="ListBullet"/>
        <w:spacing w:after="40"/>
        <w:ind w:left="288"/>
      </w:pPr>
      <w:r>
        <w:rPr>
          <w:rFonts w:ascii="Times New Roman" w:hAnsi="Times New Roman"/>
          <w:sz w:val="18"/>
        </w:rPr>
        <w:t>[35] Farahat, H. 2002. Egyptian journals authorship.</w:t>
      </w:r>
    </w:p>
    <w:p>
      <w:pPr>
        <w:pStyle w:val="ListBullet"/>
        <w:spacing w:after="40"/>
        <w:ind w:left="288"/>
      </w:pPr>
      <w:r>
        <w:rPr>
          <w:rFonts w:ascii="Times New Roman" w:hAnsi="Times New Roman"/>
          <w:sz w:val="18"/>
        </w:rPr>
        <w:t>[36] Suresh Kumar &amp; Garg. 2005. China vs India CS.</w:t>
      </w:r>
    </w:p>
    <w:p>
      <w:pPr>
        <w:pStyle w:val="ListBullet"/>
        <w:spacing w:after="40"/>
        <w:ind w:left="288"/>
      </w:pPr>
      <w:r>
        <w:rPr>
          <w:rFonts w:ascii="Times New Roman" w:hAnsi="Times New Roman"/>
          <w:sz w:val="18"/>
        </w:rPr>
        <w:t>[37] Calero, C. et al. 2006. Bibliometric mapping of research groups.</w:t>
      </w:r>
    </w:p>
    <w:p>
      <w:pPr>
        <w:pStyle w:val="ListBullet"/>
        <w:spacing w:after="40"/>
        <w:ind w:left="288"/>
      </w:pPr>
      <w:r>
        <w:rPr>
          <w:rFonts w:ascii="Times New Roman" w:hAnsi="Times New Roman"/>
          <w:sz w:val="18"/>
        </w:rPr>
        <w:t>[38] Park, T. 2008. Library science authorship.</w:t>
      </w:r>
    </w:p>
    <w:p>
      <w:pPr>
        <w:pStyle w:val="ListBullet"/>
        <w:spacing w:after="40"/>
        <w:ind w:left="288"/>
      </w:pPr>
      <w:r>
        <w:rPr>
          <w:rFonts w:ascii="Times New Roman" w:hAnsi="Times New Roman"/>
          <w:sz w:val="18"/>
        </w:rPr>
        <w:t>[39] Tijssen &amp; Van Leeuwen. 2001. Scientometric evaluation.</w:t>
      </w:r>
    </w:p>
    <w:p>
      <w:pPr>
        <w:pStyle w:val="ListBullet"/>
        <w:spacing w:after="40"/>
        <w:ind w:left="288"/>
      </w:pPr>
      <w:r>
        <w:rPr>
          <w:rFonts w:ascii="Times New Roman" w:hAnsi="Times New Roman"/>
          <w:sz w:val="18"/>
        </w:rPr>
        <w:t>[40] Thomaidis, N. et al. 2003. Balkan analytical chemistry.</w:t>
      </w:r>
    </w:p>
    <w:p>
      <w:pPr>
        <w:pStyle w:val="ListBullet"/>
        <w:spacing w:after="40"/>
        <w:ind w:left="288"/>
      </w:pPr>
      <w:r>
        <w:rPr>
          <w:rFonts w:ascii="Times New Roman" w:hAnsi="Times New Roman"/>
          <w:sz w:val="18"/>
        </w:rPr>
        <w:t>[41] Leydesdorff, L. 2004. Research evaluation.</w:t>
      </w:r>
    </w:p>
    <w:p>
      <w:pPr>
        <w:pStyle w:val="ListBullet"/>
        <w:spacing w:after="40"/>
        <w:ind w:left="288"/>
      </w:pPr>
      <w:r>
        <w:rPr>
          <w:rFonts w:ascii="Times New Roman" w:hAnsi="Times New Roman"/>
          <w:sz w:val="18"/>
        </w:rPr>
        <w:t>[42] Surulinathi et al. 2007. Knowledge management India.</w:t>
      </w:r>
    </w:p>
    <w:p>
      <w:pPr>
        <w:pStyle w:val="ListBullet"/>
        <w:spacing w:after="40"/>
        <w:ind w:left="288"/>
      </w:pPr>
      <w:r>
        <w:rPr>
          <w:rFonts w:ascii="Times New Roman" w:hAnsi="Times New Roman"/>
          <w:sz w:val="18"/>
        </w:rPr>
        <w:t>[43] Tseng, Y. et al. 2009. Trend analysis indices.</w:t>
      </w:r>
    </w:p>
    <w:p>
      <w:pPr>
        <w:pStyle w:val="ListBullet"/>
        <w:spacing w:after="40"/>
        <w:ind w:left="288"/>
      </w:pPr>
      <w:r>
        <w:rPr>
          <w:rFonts w:ascii="Times New Roman" w:hAnsi="Times New Roman"/>
          <w:sz w:val="18"/>
        </w:rPr>
        <w:t>[44] Annibaldi et al. 2010. Italian analytical chemistry.</w:t>
      </w:r>
    </w:p>
    <w:p>
      <w:pPr>
        <w:pStyle w:val="ListBullet"/>
        <w:spacing w:after="40"/>
        <w:ind w:left="288"/>
      </w:pPr>
      <w:r>
        <w:rPr>
          <w:rFonts w:ascii="Times New Roman" w:hAnsi="Times New Roman"/>
          <w:sz w:val="18"/>
        </w:rPr>
        <w:t>[45] Padma, P. 2010. Madurai Kamaraj thesis.</w:t>
      </w:r>
    </w:p>
    <w:p>
      <w:pPr>
        <w:pStyle w:val="ListBullet"/>
        <w:spacing w:after="40"/>
        <w:ind w:left="288"/>
      </w:pPr>
      <w:r>
        <w:rPr>
          <w:rFonts w:ascii="Times New Roman" w:hAnsi="Times New Roman"/>
          <w:sz w:val="18"/>
        </w:rPr>
        <w:t>[46] Garfield, E. 1983. World research 1973.</w:t>
      </w:r>
    </w:p>
    <w:p>
      <w:pPr>
        <w:pStyle w:val="ListBullet"/>
        <w:spacing w:after="40"/>
        <w:ind w:left="288"/>
      </w:pPr>
      <w:r>
        <w:rPr>
          <w:rFonts w:ascii="Times New Roman" w:hAnsi="Times New Roman"/>
          <w:sz w:val="18"/>
        </w:rPr>
        <w:t>[47] Mehrotra &amp; Lancaster. 1984. Indian science.</w:t>
      </w:r>
    </w:p>
    <w:p>
      <w:pPr>
        <w:pStyle w:val="ListBullet"/>
        <w:spacing w:after="40"/>
        <w:ind w:left="288"/>
      </w:pPr>
      <w:r>
        <w:rPr>
          <w:rFonts w:ascii="Times New Roman" w:hAnsi="Times New Roman"/>
          <w:sz w:val="18"/>
        </w:rPr>
        <w:t>[48] Raghuram &amp; Madhavi. 1996. Decline in Indian science. Nature.</w:t>
      </w:r>
    </w:p>
    <w:p>
      <w:pPr>
        <w:pStyle w:val="ListBullet"/>
        <w:spacing w:after="40"/>
        <w:ind w:left="288"/>
      </w:pPr>
      <w:r>
        <w:rPr>
          <w:rFonts w:ascii="Times New Roman" w:hAnsi="Times New Roman"/>
          <w:sz w:val="18"/>
        </w:rPr>
        <w:t>[49] Raina, D. et al. 1995. Indian research 1800-1950.</w:t>
      </w:r>
    </w:p>
    <w:p>
      <w:pPr>
        <w:pStyle w:val="ListBullet"/>
        <w:spacing w:after="40"/>
        <w:ind w:left="288"/>
      </w:pPr>
      <w:r>
        <w:rPr>
          <w:rFonts w:ascii="Times New Roman" w:hAnsi="Times New Roman"/>
          <w:sz w:val="18"/>
        </w:rPr>
        <w:t>[50] Bandyopadhyay, A.K. 2001. Indian research 1950-1990.</w:t>
      </w:r>
    </w:p>
    <w:p>
      <w:pPr>
        <w:pStyle w:val="ListBullet"/>
        <w:spacing w:after="40"/>
        <w:ind w:left="288"/>
      </w:pPr>
      <w:r>
        <w:rPr>
          <w:rFonts w:ascii="Times New Roman" w:hAnsi="Times New Roman"/>
          <w:sz w:val="18"/>
        </w:rPr>
        <w:t>[51] Arunachalam et al. 1998. 42,000 Indian papers.</w:t>
      </w:r>
    </w:p>
    <w:p>
      <w:pPr>
        <w:pStyle w:val="ListBullet"/>
        <w:spacing w:after="40"/>
        <w:ind w:left="288"/>
      </w:pPr>
      <w:r>
        <w:rPr>
          <w:rFonts w:ascii="Times New Roman" w:hAnsi="Times New Roman"/>
          <w:sz w:val="18"/>
        </w:rPr>
        <w:t>[52] Arunachalam. 2000. Is science in India on decline.</w:t>
      </w:r>
    </w:p>
    <w:p>
      <w:pPr>
        <w:pStyle w:val="ListBullet"/>
        <w:spacing w:after="40"/>
        <w:ind w:left="288"/>
      </w:pPr>
      <w:r>
        <w:rPr>
          <w:rFonts w:ascii="Times New Roman" w:hAnsi="Times New Roman"/>
          <w:sz w:val="18"/>
        </w:rPr>
        <w:t>[53] Arunachalam &amp; Gunasekaran. 2002. Tuberculosis India-China.</w:t>
      </w:r>
    </w:p>
    <w:p>
      <w:pPr>
        <w:pStyle w:val="ListBullet"/>
        <w:spacing w:after="40"/>
        <w:ind w:left="288"/>
      </w:pPr>
      <w:r>
        <w:rPr>
          <w:rFonts w:ascii="Times New Roman" w:hAnsi="Times New Roman"/>
          <w:sz w:val="18"/>
        </w:rPr>
        <w:t>[54] Kademani, B.S. et al. 2006. Thorium India.</w:t>
      </w:r>
    </w:p>
    <w:p>
      <w:pPr>
        <w:pStyle w:val="ListBullet"/>
        <w:spacing w:after="40"/>
        <w:ind w:left="288"/>
      </w:pPr>
      <w:r>
        <w:rPr>
          <w:rFonts w:ascii="Times New Roman" w:hAnsi="Times New Roman"/>
          <w:sz w:val="18"/>
        </w:rPr>
        <w:t>[55] Kademani et al. 2007. Indian S&amp;T 1990-2004.</w:t>
      </w:r>
    </w:p>
    <w:p>
      <w:pPr>
        <w:pStyle w:val="ListBullet"/>
        <w:spacing w:after="40"/>
        <w:ind w:left="288"/>
      </w:pPr>
      <w:r>
        <w:rPr>
          <w:rFonts w:ascii="Times New Roman" w:hAnsi="Times New Roman"/>
          <w:sz w:val="18"/>
        </w:rPr>
        <w:t>[56] UNEP E-waste Management Manual; NIST CSF; ENISA.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